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42180"/>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Wang Jingbo (Norah)</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NOAH HOLDINGS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96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gridSpan w:val="3"/>
          </w:tcPr>
          <w:p>
            <w:pPr>
              <w:ind w:left="140"/>
              <w:spacing w:after="0" w:line="136"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06/29/2026</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333 NORTH BRIDGE ROAD, #05-11, ODEON 333</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0"/>
        <w:spacing w:after="0"/>
        <w:tabs>
          <w:tab w:leader="none" w:pos="172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0"/>
          <w:szCs w:val="20"/>
          <w:color w:val="auto"/>
        </w:rPr>
      </w:pPr>
    </w:p>
    <w:p>
      <w:pPr>
        <w:sectPr>
          <w:pgSz w:w="11900" w:h="16838" w:orient="portrait"/>
          <w:cols w:equalWidth="0" w:num="2">
            <w:col w:w="7660" w:space="70"/>
            <w:col w:w="3350"/>
          </w:cols>
          <w:pgMar w:left="460" w:top="215" w:right="359" w:bottom="1440" w:gutter="0" w:footer="0" w:header="0"/>
          <w:type w:val="continuous"/>
        </w:sect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0"/>
          <w:szCs w:val="20"/>
          <w:color w:val="auto"/>
        </w:rPr>
      </w:pPr>
    </w:p>
    <w:p>
      <w:pPr>
        <w:jc w:val="both"/>
        <w:ind w:left="1340"/>
        <w:spacing w:after="0"/>
        <w:tabs>
          <w:tab w:leader="none" w:pos="2540" w:val="left"/>
        </w:tabs>
        <w:rPr>
          <w:sz w:val="20"/>
          <w:szCs w:val="20"/>
          <w:color w:val="auto"/>
        </w:rPr>
      </w:pPr>
      <w:r>
        <w:rPr>
          <w:rFonts w:ascii="Times New Roman" w:cs="Times New Roman" w:eastAsia="Times New Roman" w:hAnsi="Times New Roman"/>
          <w:sz w:val="16"/>
          <w:szCs w:val="16"/>
          <w:color w:val="0000FF"/>
        </w:rPr>
        <w:t>U0</w:t>
      </w:r>
      <w:r>
        <w:rPr>
          <w:sz w:val="20"/>
          <w:szCs w:val="20"/>
          <w:color w:val="auto"/>
        </w:rPr>
        <w:tab/>
      </w:r>
      <w:r>
        <w:rPr>
          <w:rFonts w:ascii="Times New Roman" w:cs="Times New Roman" w:eastAsia="Times New Roman" w:hAnsi="Times New Roman"/>
          <w:sz w:val="16"/>
          <w:szCs w:val="16"/>
          <w:color w:val="0000FF"/>
        </w:rPr>
        <w:t>188721</w:t>
      </w:r>
    </w:p>
    <w:p>
      <w:pPr>
        <w:spacing w:after="0" w:line="31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0"/>
          <w:szCs w:val="20"/>
          <w:color w:val="auto"/>
        </w:rPr>
      </w:pPr>
    </w:p>
    <w:p>
      <w:pPr>
        <w:sectPr>
          <w:pgSz w:w="11900" w:h="16838" w:orient="portrait"/>
          <w:cols w:equalWidth="0" w:num="2">
            <w:col w:w="3180" w:space="72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1000" w:type="dxa"/>
            <w:vAlign w:val="bottom"/>
          </w:tcPr>
          <w:p>
            <w:pPr>
              <w:spacing w:after="0"/>
              <w:rPr>
                <w:sz w:val="13"/>
                <w:szCs w:val="13"/>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680"/>
              <w:spacing w:after="0" w:line="126"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80" w:type="dxa"/>
            <w:vAlign w:val="bottom"/>
            <w:gridSpan w:val="2"/>
          </w:tcPr>
          <w:p>
            <w:pPr>
              <w:ind w:left="680"/>
              <w:spacing w:after="0" w:line="126"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5)</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gridSpan w:val="4"/>
          </w:tcPr>
          <w:p>
            <w:pPr>
              <w:ind w:left="40"/>
              <w:spacing w:after="0" w:line="126" w:lineRule="exact"/>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gridSpan w:val="4"/>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0"/>
                <w:szCs w:val="10"/>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300"/>
              <w:spacing w:after="0" w:line="126"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Pr>
          <w:p>
            <w:pPr>
              <w:spacing w:after="0"/>
              <w:rPr>
                <w:sz w:val="20"/>
                <w:szCs w:val="20"/>
                <w:color w:val="auto"/>
              </w:rPr>
            </w:pP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06/29/2026</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right"/>
              <w:ind w:right="262"/>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0"/>
                <w:szCs w:val="20"/>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765</w:t>
            </w: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68,736,755</w:t>
            </w:r>
          </w:p>
        </w:tc>
        <w:tc>
          <w:tcPr>
            <w:tcW w:w="340" w:type="dxa"/>
            <w:vAlign w:val="bottom"/>
          </w:tcPr>
          <w:p>
            <w:pPr>
              <w:spacing w:after="0"/>
              <w:rPr>
                <w:sz w:val="20"/>
                <w:szCs w:val="20"/>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12"/>
          </w:tcPr>
          <w:p>
            <w:pPr>
              <w:ind w:left="9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6" w:lineRule="exact"/>
              <w:rPr>
                <w:sz w:val="20"/>
                <w:szCs w:val="20"/>
                <w:color w:val="auto"/>
              </w:rPr>
            </w:pPr>
            <w:r>
              <w:rPr>
                <w:rFonts w:ascii="Arial" w:cs="Arial" w:eastAsia="Arial" w:hAnsi="Arial"/>
                <w:sz w:val="11"/>
                <w:szCs w:val="11"/>
                <w:b w:val="1"/>
                <w:bCs w:val="1"/>
                <w:color w:val="auto"/>
                <w:w w:val="98"/>
              </w:rPr>
              <w:t>(Instr. 3 and 4)</w:t>
            </w:r>
          </w:p>
        </w:tc>
        <w:tc>
          <w:tcPr>
            <w:tcW w:w="5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06/29/2026</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76.5</w:t>
            </w:r>
          </w:p>
        </w:tc>
        <w:tc>
          <w:tcPr>
            <w:tcW w:w="72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765</w:t>
            </w:r>
          </w:p>
        </w:tc>
        <w:tc>
          <w:tcPr>
            <w:tcW w:w="7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5"/>
                <w:szCs w:val="15"/>
                <w:color w:val="auto"/>
              </w:rPr>
            </w:pP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15"/>
                <w:szCs w:val="15"/>
                <w:color w:val="auto"/>
              </w:rPr>
            </w:pPr>
          </w:p>
        </w:tc>
        <w:tc>
          <w:tcPr>
            <w:tcW w:w="74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80"/>
              <w:spacing w:after="0" w:line="226"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vMerge w:val="continue"/>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vMerge w:val="continue"/>
          </w:tcPr>
          <w:p>
            <w:pPr>
              <w:spacing w:after="0"/>
              <w:rPr>
                <w:sz w:val="11"/>
                <w:szCs w:val="11"/>
                <w:color w:val="auto"/>
              </w:rPr>
            </w:pPr>
          </w:p>
        </w:tc>
        <w:tc>
          <w:tcPr>
            <w:tcW w:w="540" w:type="dxa"/>
            <w:vAlign w:val="bottom"/>
            <w:tcBorders>
              <w:bottom w:val="single" w:sz="8" w:color="2C2C2C"/>
            </w:tcBorders>
            <w:vMerge w:val="continue"/>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-1964055</wp:posOffset>
            </wp:positionV>
            <wp:extent cx="28575" cy="1969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6977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ind w:left="40" w:right="2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Jing Investors Co., Ltd., a British Virgin Islands company wholly owned by Magic Beams Enterprises Ltd., a British Virgin Islands company, which is in turn wholly owned by Ark Trust (Singapore) Ltd. as trustee of Norah Family Trust, with Ms. Jingbo Wang as settlor and Ms. Jingbo Wang and her family members as beneficiaries. Ms. Wang is the sole director of Jing Investors Co., Ltd. and as such has power to vote and dispose of the ordinary shares of the Issuer held by Jing Investors Co., Ltd.</w:t>
      </w:r>
    </w:p>
    <w:p>
      <w:pPr>
        <w:spacing w:after="0" w:line="25"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13,234 RSUs, each representing the right to receive 10 ordinary shares. 11,012 RSUs vested on December 29, 2023. The remaining 2,222 RSUs vest in equal monthly installments of 74 RSUs at the end of each month, commencing January 29, 2024. The award will be fully vested on June 29, 2026. This Form 4 reports the final monthly vesting installment, upon which the award became fully vested. Monthly installments are subject to rounding; accordingly, the number of RSUs vesting in this final installment differs slightly from the unvested balance reported on the prior Form 4. Following this transaction, no RSUs under this award remain outstanding.</w:t>
      </w:r>
    </w:p>
    <w:p>
      <w:pPr>
        <w:spacing w:after="0" w:line="4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JINGBO WANG</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06/30/2026</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118043"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2026-06-30T05:54:42Z</dcterms:created>
  <dcterms:modified xsi:type="dcterms:W3CDTF">2026-06-30T05:54:42Z</dcterms:modified>
</cp:coreProperties>
</file>