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4218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YIN ZHE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NORTH BRIDGE ROAD, #05-11, ODEON 333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NOAH HOLDINGS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NOAH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51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580" w:space="320"/>
            <w:col w:w="3110" w:space="720"/>
            <w:col w:w="3350"/>
          </w:cols>
          <w:pgMar w:left="460" w:top="215" w:right="35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37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760" w:type="dxa"/>
            <w:vAlign w:val="bottom"/>
            <w:gridSpan w:val="8"/>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U0</w:t>
            </w:r>
          </w:p>
        </w:tc>
        <w:tc>
          <w:tcPr>
            <w:tcW w:w="2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0000FF"/>
              </w:rPr>
              <w:t>188721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ind w:left="20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w w:val="92"/>
              </w:rPr>
              <w:t>(State)</w:t>
            </w:r>
          </w:p>
        </w:tc>
        <w:tc>
          <w:tcPr>
            <w:tcW w:w="2040" w:type="dxa"/>
            <w:vAlign w:val="bottom"/>
            <w:tcBorders>
              <w:top w:val="single" w:sz="8" w:color="EEEEEE"/>
            </w:tcBorders>
            <w:gridSpan w:val="2"/>
            <w:vMerge w:val="restart"/>
          </w:tcPr>
          <w:p>
            <w:pPr>
              <w:ind w:left="84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2"/>
          </w:tcPr>
          <w:p>
            <w:pPr>
              <w:ind w:left="6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980" w:type="dxa"/>
            <w:vAlign w:val="bottom"/>
          </w:tcPr>
          <w:p>
            <w:pPr>
              <w:spacing w:after="0"/>
              <w:rPr>
                <w:sz w:val="14"/>
                <w:szCs w:val="14"/>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ind w:left="680"/>
              <w:spacing w:after="0" w:line="126"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80" w:type="dxa"/>
            <w:vAlign w:val="bottom"/>
            <w:gridSpan w:val="2"/>
          </w:tcPr>
          <w:p>
            <w:pPr>
              <w:ind w:left="680"/>
              <w:spacing w:after="0" w:line="126"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line="126" w:lineRule="exact"/>
              <w:rPr>
                <w:sz w:val="20"/>
                <w:szCs w:val="20"/>
                <w:color w:val="auto"/>
              </w:rPr>
            </w:pPr>
            <w:r>
              <w:rPr>
                <w:rFonts w:ascii="Arial" w:cs="Arial" w:eastAsia="Arial" w:hAnsi="Arial"/>
                <w:sz w:val="11"/>
                <w:szCs w:val="11"/>
                <w:b w:val="1"/>
                <w:bCs w:val="1"/>
                <w:color w:val="auto"/>
              </w:rPr>
              <w:t>5)</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40" w:type="dxa"/>
            <w:vAlign w:val="bottom"/>
            <w:gridSpan w:val="4"/>
          </w:tcPr>
          <w:p>
            <w:pPr>
              <w:ind w:left="40"/>
              <w:spacing w:after="0" w:line="126" w:lineRule="exact"/>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gridSpan w:val="4"/>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0"/>
                <w:szCs w:val="10"/>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ind w:left="300"/>
              <w:spacing w:after="0" w:line="126"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Pr>
          <w:p>
            <w:pPr>
              <w:spacing w:after="0"/>
              <w:rPr>
                <w:sz w:val="20"/>
                <w:szCs w:val="20"/>
                <w:color w:val="auto"/>
              </w:rPr>
            </w:pP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06/29/2026</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right"/>
              <w:ind w:right="262"/>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0"/>
                <w:szCs w:val="20"/>
                <w:color w:val="auto"/>
              </w:rPr>
            </w:pP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765</w:t>
            </w: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17,205,335</w:t>
            </w:r>
          </w:p>
        </w:tc>
        <w:tc>
          <w:tcPr>
            <w:tcW w:w="340" w:type="dxa"/>
            <w:vAlign w:val="bottom"/>
          </w:tcPr>
          <w:p>
            <w:pPr>
              <w:spacing w:after="0"/>
              <w:rPr>
                <w:sz w:val="20"/>
                <w:szCs w:val="20"/>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60" w:type="dxa"/>
            <w:vAlign w:val="bottom"/>
            <w:gridSpan w:val="12"/>
          </w:tcPr>
          <w:p>
            <w:pPr>
              <w:ind w:left="8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3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6" w:lineRule="exact"/>
              <w:rPr>
                <w:sz w:val="20"/>
                <w:szCs w:val="20"/>
                <w:color w:val="auto"/>
              </w:rPr>
            </w:pPr>
            <w:r>
              <w:rPr>
                <w:rFonts w:ascii="Arial" w:cs="Arial" w:eastAsia="Arial" w:hAnsi="Arial"/>
                <w:sz w:val="11"/>
                <w:szCs w:val="11"/>
                <w:b w:val="1"/>
                <w:bCs w:val="1"/>
                <w:color w:val="auto"/>
                <w:w w:val="98"/>
              </w:rPr>
              <w:t>(Instr. 3 and 4)</w:t>
            </w:r>
          </w:p>
        </w:tc>
        <w:tc>
          <w:tcPr>
            <w:tcW w:w="5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w:t>
            </w:r>
          </w:p>
        </w:tc>
        <w:tc>
          <w:tcPr>
            <w:tcW w:w="780" w:type="dxa"/>
            <w:vAlign w:val="bottom"/>
          </w:tcPr>
          <w:p>
            <w:pPr>
              <w:spacing w:after="0"/>
              <w:rPr>
                <w:sz w:val="10"/>
                <w:szCs w:val="10"/>
                <w:color w:val="auto"/>
              </w:rPr>
            </w:pPr>
          </w:p>
        </w:tc>
        <w:tc>
          <w:tcPr>
            <w:tcW w:w="5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06/29/2026</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76.5</w:t>
            </w:r>
          </w:p>
        </w:tc>
        <w:tc>
          <w:tcPr>
            <w:tcW w:w="72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765</w:t>
            </w:r>
          </w:p>
        </w:tc>
        <w:tc>
          <w:tcPr>
            <w:tcW w:w="7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5"/>
                <w:szCs w:val="15"/>
                <w:color w:val="auto"/>
              </w:rPr>
            </w:pP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15"/>
                <w:szCs w:val="15"/>
                <w:color w:val="auto"/>
              </w:rPr>
            </w:pPr>
          </w:p>
        </w:tc>
        <w:tc>
          <w:tcPr>
            <w:tcW w:w="74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80"/>
              <w:spacing w:after="0" w:line="226"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vMerge w:val="continue"/>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vMerge w:val="continue"/>
          </w:tcPr>
          <w:p>
            <w:pPr>
              <w:spacing w:after="0"/>
              <w:rPr>
                <w:sz w:val="11"/>
                <w:szCs w:val="11"/>
                <w:color w:val="auto"/>
              </w:rPr>
            </w:pPr>
          </w:p>
        </w:tc>
        <w:tc>
          <w:tcPr>
            <w:tcW w:w="540" w:type="dxa"/>
            <w:vAlign w:val="bottom"/>
            <w:tcBorders>
              <w:bottom w:val="single" w:sz="8" w:color="2C2C2C"/>
            </w:tcBorders>
            <w:vMerge w:val="continue"/>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-1964055</wp:posOffset>
            </wp:positionV>
            <wp:extent cx="28575" cy="1969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697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ordinary shares on the basis of ten ordinary shares per unit.</w:t>
      </w:r>
    </w:p>
    <w:p>
      <w:pPr>
        <w:spacing w:after="0" w:line="38" w:lineRule="exact"/>
        <w:rPr>
          <w:rFonts w:ascii="Times New Roman" w:cs="Times New Roman" w:eastAsia="Times New Roman" w:hAnsi="Times New Roman"/>
          <w:sz w:val="13"/>
          <w:szCs w:val="13"/>
          <w:color w:val="008000"/>
        </w:rPr>
      </w:pPr>
    </w:p>
    <w:p>
      <w:pPr>
        <w:jc w:val="both"/>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Yin Investment Co., Ltd., a British Virgin Islands company controlled by Ark Trust (Hong Kong) Limited as trustee of Safe Harbor Trust, with Mr. Zhe Yin as settlor and Mr. Zhe Yin and his family members as beneficiaries. Ark Trust (Hong Kong) Limited as trustee of Safe Harbor Trust has no power to dispose of the ordinary shares held by Yin Investment Co., Ltd. except upon written instruction by Mr. Zhe Yin, except in certain limited situations.</w:t>
      </w:r>
    </w:p>
    <w:p>
      <w:pPr>
        <w:spacing w:after="0" w:line="25" w:lineRule="exact"/>
        <w:rPr>
          <w:rFonts w:ascii="Times New Roman" w:cs="Times New Roman" w:eastAsia="Times New Roman" w:hAnsi="Times New Roman"/>
          <w:sz w:val="13"/>
          <w:szCs w:val="13"/>
          <w:color w:val="008000"/>
        </w:rPr>
      </w:pPr>
    </w:p>
    <w:p>
      <w:pPr>
        <w:ind w:left="40" w:right="220" w:hanging="2"/>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21,883 RSUs, each representing the right to receive 10 ordinary shares. 19,661 RSUs vested on December 29, 2023. The remaining 2,222 RSUs vest in equal monthly installments of 74 RSUs at the end of each month, commencing January 29, 2024. The award will be fully vested on June 29, 2026. This Form 4 reports the final monthly vesting installment, upon which the award became fully vested. Monthly installments are subject to rounding; accordingly, the number of RSUs vesting in this final installment differs slightly from the unvested balance reported on the prior Form 4. Following this transaction, no RSUs under this award remain outstanding.</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ZHE YIN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06/30/2026</w:t>
            </w:r>
          </w:p>
        </w:tc>
      </w:tr>
      <w:tr>
        <w:trPr>
          <w:trHeight w:val="20"/>
        </w:trPr>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9718" TargetMode="External"/><Relationship Id="rId14" Type="http://schemas.openxmlformats.org/officeDocument/2006/relationships/hyperlink" Target="http://www.sec.gov/cgi-bin/browse-edgar?action=getcompany&amp;CIK=00014995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2026-06-30T05:26:15Z</dcterms:created>
  <dcterms:modified xsi:type="dcterms:W3CDTF">2026-06-30T05:26:15Z</dcterms:modified>
</cp:coreProperties>
</file>