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683d2_6k.htm"/>
      <w:bookmarkStart w:id="1" w:name="kstm2623683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3683d2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3683d2_ex99-1.htm">
              <w:r>
                <w:rPr>
                  <w:rStyle w:val="InternetLink"/>
                  <w:sz w:val="20"/>
                </w:rPr>
                <w:t>Press Release — Noah Holdings Limited Announces Unaudited Financial Results for the Second Quarter of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3683d2_ex99-1.htm"/>
      <w:bookmarkStart w:id="3" w:name="kstm2623683d2_ex991"/>
      <w:bookmarkEnd w:id="2"/>
      <w:bookmarkEnd w:id="3"/>
      <w:r>
        <w:rPr>
          <w:b/>
        </w:rPr>
        <w:t>Exhibit 99.1</w:t>
      </w:r>
      <w:r>
        <w:br w:type="page"/>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 ANNOUNCES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26, 2026 — Noah Holdings Limited ("Noah" or the "Company") (NYSE: NOAH and HKEX: 6686), a leading and pioneer wealth management service provider offering comprehensive one-stop advisory services on global investment and asset allocation primarily for global Chinese high-net-worth investors, today announced its unaudited 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w:t>
            </w:r>
            <w:r>
              <w:rPr/>
              <w:t xml:space="preserve"> for the second quarter of 2026 were RMB619.9 million (US$91.4 million), a 1.5% decrease from the corresponding period in 2025, primarily due to a decrease in one-time commissions from insurance products and lower recurring service fees, partially offset by a significant increase in performance-based income from mainland China private secondary products, and a 0.9% decrease quarter-on-quarter, primarily due to lower one-time commissions and recurring service fees, largely offset by an increase in performance-based income from mainland China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Income from operations</w:t>
            </w:r>
            <w:r>
              <w:rPr/>
              <w:t xml:space="preserve"> for the second quarter of 2026 was RMB215.8 million (US$31.8 million), a 34.0% increase from the corresponding period in 2025, primarily due to lower operating costs and expenses, including lower compensation and benefits expenses resulting from our disciplined cost control measures and a decrease in provision for credit losses.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income attributable to Noah shareholders</w:t>
            </w:r>
            <w:r>
              <w:rPr/>
              <w:t xml:space="preserve"> for the second quarter of 2026 was RMB232.2 million (US$34.2 million), a 30.0% increase from the corresponding period in 2025, primarily due to higher income from operations and an increase in investment income, partially offset by higher income tax expense.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Non-GAAP</w:t>
            </w:r>
            <w:r>
              <w:rPr>
                <w:b/>
                <w:position w:val="8"/>
                <w:sz w:val="19"/>
              </w:rPr>
              <w:t>1</w:t>
            </w:r>
            <w:r>
              <w:rPr>
                <w:b/>
              </w:rPr>
              <w:t xml:space="preserve"> net income attributable to Noah shareholders</w:t>
            </w:r>
            <w:r>
              <w:rPr/>
              <w:t xml:space="preserve"> for the second quarter of 2026 was RMB238.0 million (US$35.1 million), a 25.9%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reports its operational performance across six business segments — three mainland China and three international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plus headquarters. The following updates provide segment-specific operating metrics and developments during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Group-wide Operating Metrics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Total number of registered clients</w:t>
            </w:r>
            <w:r>
              <w:rPr/>
              <w:t xml:space="preserve"> as of June 30, 2026 was 469,987, a 1.2% increase from June 30, 2025, and a 0.2% increase from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Total number of active clients</w:t>
            </w:r>
            <w:r>
              <w:rPr>
                <w:b/>
                <w:position w:val="8"/>
                <w:sz w:val="19"/>
              </w:rPr>
              <w:t>3</w:t>
            </w:r>
            <w:r>
              <w:rPr/>
              <w:t xml:space="preserve"> for the second quarter of 2026 was 10,296, a 12.4% increase from the second quarter of 2025 and a 4.2% decrease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Aggregate value of investment products distributed</w:t>
            </w:r>
            <w:r>
              <w:rPr/>
              <w:t xml:space="preserve"> during the second quarter of 2026 was RMB17.1 billion (US$2.5 billion), compared with RMB17.0 billion in the second quarter of 2025 and RMB23.3 billion in the first quarter of 2026. The quarter-over-quarter decrease was mainly attributable to lower distribution of mutual fund and private secondary products in mainland China.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Total assets under management</w:t>
            </w:r>
            <w:r>
              <w:rPr/>
              <w:t xml:space="preserve"> as of June 30, 2026 were RMB140.9 billion (US$20.8 billion), compared with RMB145.1 billion as of June 30, 2025 and RMB140.2 billion as of March 31, 2026, mainly due to the continuous allocation and exit of mainland China private equity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Investment Products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b/>
              </w:rPr>
            </w:pPr>
            <w:r>
              <w:rPr>
                <w:b/>
              </w:rPr>
              <w:t>The aggregate value of investment products distributed, categorized by product type,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5676" w:type="dxa"/>
        <w:jc w:val="left"/>
        <w:tblInd w:w="0" w:type="dxa"/>
        <w:tblLayout w:type="fixed"/>
        <w:tblCellMar>
          <w:top w:w="0" w:type="dxa"/>
          <w:left w:w="0" w:type="dxa"/>
          <w:bottom w:w="0" w:type="dxa"/>
          <w:right w:w="0" w:type="dxa"/>
        </w:tblCellMar>
      </w:tblPr>
      <w:tblGrid>
        <w:gridCol w:w="2225"/>
        <w:gridCol w:w="60"/>
        <w:gridCol w:w="60"/>
        <w:gridCol w:w="487"/>
        <w:gridCol w:w="76"/>
        <w:gridCol w:w="76"/>
        <w:gridCol w:w="76"/>
        <w:gridCol w:w="622"/>
        <w:gridCol w:w="275"/>
        <w:gridCol w:w="76"/>
        <w:gridCol w:w="76"/>
        <w:gridCol w:w="487"/>
        <w:gridCol w:w="76"/>
        <w:gridCol w:w="76"/>
        <w:gridCol w:w="76"/>
        <w:gridCol w:w="622"/>
        <w:gridCol w:w="23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4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1" w:type="dxa"/>
            <w:gridSpan w:val="1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billions, except percentages)</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secondary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Noah’s Non-GAAP financial measures are its corresponding GAAP financial measures excluding the effects of all forms of share-based compensation net of relevant tax impact, if any. See “Reconciliation of GAAP to Non-GAAP Results” at the end of this press release.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classification of the Group’s business segments for the purposes of this announcement, “international” refers to business activities conducted in, or relating to, countries and regions outside Mainland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“Active clients” for a given period refers to registered investors who purchase investment products distributed or receive services provided by us during that given period.</w:t>
      </w:r>
    </w:p>
    <w:p>
      <w:pPr>
        <w:pStyle w:val="TextBody"/>
        <w:bidi w:val="0"/>
        <w:spacing w:before="0" w:after="0"/>
        <w:ind w:left="0" w:right="0" w:hanging="0"/>
        <w:jc w:val="left"/>
        <w:rPr/>
      </w:pPr>
      <w:r>
        <w:rPr>
          <w:rFonts w:ascii="Times New Roman;Times;Serif" w:hAnsi="Times New Roman;Times;Serif"/>
          <w:position w:val="7"/>
          <w:sz w:val="16"/>
          <w:sz w:val="20"/>
        </w:rPr>
        <w:t>4</w:t>
      </w:r>
      <w:r>
        <w:rPr/>
        <w:t xml:space="preserve"> “Other products” refers to other investment products, which includes insurance products, multi-strategies products and others.</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b/>
              </w:rPr>
              <w:t>The aggregate value of investment products distributed, categorized by geography, is as follows</w:t>
            </w: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2690"/>
        <w:gridCol w:w="60"/>
        <w:gridCol w:w="63"/>
        <w:gridCol w:w="385"/>
        <w:gridCol w:w="84"/>
        <w:gridCol w:w="84"/>
        <w:gridCol w:w="84"/>
        <w:gridCol w:w="681"/>
        <w:gridCol w:w="301"/>
        <w:gridCol w:w="84"/>
        <w:gridCol w:w="84"/>
        <w:gridCol w:w="385"/>
        <w:gridCol w:w="84"/>
        <w:gridCol w:w="84"/>
        <w:gridCol w:w="84"/>
        <w:gridCol w:w="681"/>
        <w:gridCol w:w="230"/>
      </w:tblGrid>
      <w:tr>
        <w:trPr/>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products in mainland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4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5" w:type="dxa"/>
            <w:gridSpan w:val="1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billions, except percentages)</w:t>
            </w:r>
          </w:p>
        </w:tc>
        <w:tc>
          <w:tcPr>
            <w:tcW w:w="23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secondary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products in mainland 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30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2615"/>
        <w:gridCol w:w="60"/>
        <w:gridCol w:w="63"/>
        <w:gridCol w:w="385"/>
        <w:gridCol w:w="84"/>
        <w:gridCol w:w="84"/>
        <w:gridCol w:w="84"/>
        <w:gridCol w:w="681"/>
        <w:gridCol w:w="301"/>
        <w:gridCol w:w="84"/>
        <w:gridCol w:w="84"/>
        <w:gridCol w:w="385"/>
        <w:gridCol w:w="84"/>
        <w:gridCol w:w="84"/>
        <w:gridCol w:w="84"/>
        <w:gridCol w:w="681"/>
        <w:gridCol w:w="23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June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international products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4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05" w:type="dxa"/>
            <w:gridSpan w:val="1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billions, except percentages)</w:t>
            </w:r>
          </w:p>
        </w:tc>
        <w:tc>
          <w:tcPr>
            <w:tcW w:w="23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secondary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international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3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Under Management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b/>
              </w:rPr>
            </w:pPr>
            <w:r>
              <w:rPr>
                <w:b/>
              </w:rPr>
              <w:t>Total assets under management, categorized by investment type,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28" w:type="dxa"/>
          <w:right w:w="0" w:type="dxa"/>
        </w:tblCellMar>
      </w:tblPr>
      <w:tblGrid>
        <w:gridCol w:w="1460"/>
        <w:gridCol w:w="60"/>
        <w:gridCol w:w="60"/>
        <w:gridCol w:w="485"/>
        <w:gridCol w:w="60"/>
        <w:gridCol w:w="60"/>
        <w:gridCol w:w="60"/>
        <w:gridCol w:w="485"/>
        <w:gridCol w:w="215"/>
        <w:gridCol w:w="60"/>
        <w:gridCol w:w="111"/>
        <w:gridCol w:w="509"/>
        <w:gridCol w:w="60"/>
        <w:gridCol w:w="60"/>
        <w:gridCol w:w="199"/>
        <w:gridCol w:w="916"/>
        <w:gridCol w:w="60"/>
        <w:gridCol w:w="60"/>
        <w:gridCol w:w="60"/>
        <w:gridCol w:w="485"/>
        <w:gridCol w:w="60"/>
        <w:gridCol w:w="60"/>
        <w:gridCol w:w="60"/>
        <w:gridCol w:w="485"/>
        <w:gridCol w:w="230"/>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type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March 31,</w:t>
              <w:br/>
              <w:t>2026</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w:t>
              <w:br/>
              <w:t>Redemption</w:t>
            </w:r>
            <w:r>
              <w:rPr>
                <w:rFonts w:ascii="Times New Roman;Times;Serif" w:hAnsi="Times New Roman;Times;Serif"/>
                <w:b w:val="false"/>
                <w:i w:val="false"/>
                <w:caps w:val="false"/>
                <w:smallCaps w:val="false"/>
                <w:position w:val="7"/>
                <w:sz w:val="16"/>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June 30,</w:t>
              <w:br/>
              <w:t>2026</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610" w:type="dxa"/>
            <w:gridSpan w:val="21"/>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billions, except percentages)</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Multi-strategies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rPr>
            </w:pPr>
            <w:r>
              <w:rPr>
                <w:rFonts w:ascii="Symbol" w:hAnsi="Symbol"/>
              </w:rPr>
              <w:t>·</w:t>
            </w:r>
          </w:p>
        </w:tc>
        <w:tc>
          <w:tcPr>
            <w:tcW w:w="9990" w:type="dxa"/>
            <w:tcBorders/>
            <w:vAlign w:val="center"/>
          </w:tcPr>
          <w:p>
            <w:pPr>
              <w:pStyle w:val="TableContents"/>
              <w:bidi w:val="0"/>
              <w:spacing w:before="0" w:after="283"/>
              <w:jc w:val="both"/>
              <w:rPr>
                <w:b/>
              </w:rPr>
            </w:pPr>
            <w:r>
              <w:rPr>
                <w:b/>
              </w:rPr>
              <w:t>Total assets under management, categorized by geography,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28" w:type="dxa"/>
          <w:right w:w="0" w:type="dxa"/>
        </w:tblCellMar>
      </w:tblPr>
      <w:tblGrid>
        <w:gridCol w:w="1460"/>
        <w:gridCol w:w="60"/>
        <w:gridCol w:w="60"/>
        <w:gridCol w:w="380"/>
        <w:gridCol w:w="60"/>
        <w:gridCol w:w="60"/>
        <w:gridCol w:w="60"/>
        <w:gridCol w:w="485"/>
        <w:gridCol w:w="215"/>
        <w:gridCol w:w="60"/>
        <w:gridCol w:w="111"/>
        <w:gridCol w:w="509"/>
        <w:gridCol w:w="60"/>
        <w:gridCol w:w="60"/>
        <w:gridCol w:w="183"/>
        <w:gridCol w:w="842"/>
        <w:gridCol w:w="60"/>
        <w:gridCol w:w="60"/>
        <w:gridCol w:w="60"/>
        <w:gridCol w:w="380"/>
        <w:gridCol w:w="60"/>
        <w:gridCol w:w="60"/>
        <w:gridCol w:w="60"/>
        <w:gridCol w:w="485"/>
        <w:gridCol w:w="230"/>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Mainland China </w:t>
              <w:br/>
              <w:t>Investment type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March 31,</w:t>
              <w:br/>
              <w:t>2026</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w:t>
              <w:br/>
              <w:t>Redemption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June 30,</w:t>
              <w:br/>
              <w:t>2026</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gridSpan w:val="21"/>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billions, except percentages)</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Multi-strategies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The asset allocation/redemption of international investment products includes the fluctuation result of foreign currencies exchange rate.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The asset allocation/redemption of public securities also includes market appreciation or depreciation.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2 / 19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1370"/>
        <w:gridCol w:w="60"/>
        <w:gridCol w:w="60"/>
        <w:gridCol w:w="380"/>
        <w:gridCol w:w="60"/>
        <w:gridCol w:w="60"/>
        <w:gridCol w:w="60"/>
        <w:gridCol w:w="485"/>
        <w:gridCol w:w="215"/>
        <w:gridCol w:w="60"/>
        <w:gridCol w:w="111"/>
        <w:gridCol w:w="509"/>
        <w:gridCol w:w="60"/>
        <w:gridCol w:w="60"/>
        <w:gridCol w:w="183"/>
        <w:gridCol w:w="842"/>
        <w:gridCol w:w="60"/>
        <w:gridCol w:w="60"/>
        <w:gridCol w:w="60"/>
        <w:gridCol w:w="380"/>
        <w:gridCol w:w="60"/>
        <w:gridCol w:w="60"/>
        <w:gridCol w:w="60"/>
        <w:gridCol w:w="485"/>
        <w:gridCol w:w="230"/>
      </w:tblGrid>
      <w:tr>
        <w:trPr/>
        <w:tc>
          <w:tcPr>
            <w:tcW w:w="137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type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March 31,</w:t>
              <w:br/>
              <w:t>2026</w:t>
            </w:r>
          </w:p>
        </w:tc>
        <w:tc>
          <w:tcPr>
            <w:tcW w:w="2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w:t>
              <w:br/>
              <w:t>Redemption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June 30,</w:t>
              <w:br/>
              <w:t>2026</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10" w:type="dxa"/>
            <w:gridSpan w:val="21"/>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billions, except percentages)</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Multi-strategies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single" w:sz="8" w:space="0" w:color="000000"/>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Operating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Mainland China operations are organized into three reportable segments: mainland China public securities, mainland China asset management, and mainland China insurance. Each segment operates under a dedicated brand and serves a distinct client need in the mainland China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 public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public securities, operating under the Noah Upright brand, is the business that distributes mutual funds and private secondary products in mainland China. This segment operates under an “online-first, offline-supported” business model, with the goal of facilitating global asset allocation through RMB-denominated products.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Transaction value of mutual fund products distributed </w:t>
            </w:r>
            <w:r>
              <w:rPr/>
              <w:t>in mainland China during the second quarter of 2026 was RMB5.5 billion (US$0.8 billion), compared with RMB5.7 billion in the second quarter of 2025 and RMB9.9 billion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Transaction value of RMB-denominated private secondary products distributed</w:t>
            </w:r>
            <w:r>
              <w:rPr/>
              <w:t xml:space="preserve"> in mainland China during the second quarter of 2026 was RMB2.8 billion (US$0.4 billion), unchanged from RMB2.8 billion in the second quarter of 2025 and a 48.1% decrease from RMB5.4 billion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Number of active clients in this segment </w:t>
            </w:r>
            <w:r>
              <w:rPr/>
              <w:t>during the second quarter of 2026 was 7,052, an 18.5% increase from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Number of licensed relationship managers serving this segment</w:t>
            </w:r>
            <w:r>
              <w:rPr/>
              <w:t xml:space="preserve"> was 192 as of June 30, 2026, compared with 207 as of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asset management, operating under the Gopher Asset Management brand, is the business that manages RMB-denominated private equity funds and private secondary products. Current focus areas include managing primary market exits on existing vintages and growing cross-border ETF products in the secondary market.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AUM of RMB-denominated private equity products</w:t>
            </w:r>
            <w:r>
              <w:rPr/>
              <w:t xml:space="preserve"> as of June 30, 2026 was RMB91.8 billion (US$13.5 billion), compared with RMB96.5 billion as of June 30, 2025 and RMB92.3 billion as of March 31, 2026, mainly due to our continuous effort on exiting private equity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AUM of RMB-denominated public securities products</w:t>
            </w:r>
            <w:r>
              <w:rPr/>
              <w:t xml:space="preserve"> as of June 30, 2026 was RMB3.8 billion (US$0.6 billion), compared with RMB5.1 billion as of June 30, 2025 and RMB3.8 billion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Net flow during the quarter:</w:t>
            </w:r>
            <w:r>
              <w:rPr/>
              <w:t xml:space="preserve"> new AUM added was RMB0.2 billion (US$29.5 million) and AUM allocated/redeemed was RMB0.7 billion (US$103.2 million) during the second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insurance, operating under the Glory brand, is the business that distributes insurance products in mainland China, consisting mainly of life and health insurance products. The business has been undergoing a strategic shift toward a commission-only broker model and comprehensive family succession planning services. The net revenues for the second quarter of 2026 were RMB2.0 million (US$0.3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are organized into three reportable segments: international wealth management, international asset management, and international insurance and comprehensive services. The Company operates booking centers in Hong Kong, Singapore and key U.S. markets including New York, Los Angeles and Silicon Valley.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3 / 19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wealth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wealth management, operating under the ARK Wealth Management brand, is the business that provides offline and online wealth management services to global Chinese high-net-worth investors outside mainland China. Currently we are dedicated to providing comprehensive services using our booking centers in Hong Kong and Singapore.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Number of international registered clients</w:t>
            </w:r>
            <w:r>
              <w:rPr/>
              <w:t xml:space="preserve"> as of June 30, 2026 was 21,059, an 11.0% increase from June 30, 2025 and a 3.4% increase from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Number of international active clients </w:t>
            </w:r>
            <w:r>
              <w:rPr/>
              <w:t>who transacted with us during the second quarter of 2026 was 3,494, a 4.3% decrease from the second quarter of 2025 and an 8.5% increase from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Transaction value of international investment products distributed</w:t>
            </w:r>
            <w:r>
              <w:rPr/>
              <w:t xml:space="preserve"> during the second quarter of 2026 was RMB8.7 billion (US$1.3 billion), compared with RMB8.3 billion in the second quarter of 2025 and RMB8.0 billion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International AUA (assets under advisory, including distributed products, but excluding AUA associated with our online securities services)</w:t>
            </w:r>
            <w:r>
              <w:rPr/>
              <w:t xml:space="preserve"> as of June 30, 2026 was RMB66.3 billion (US$9.8 billion), compared with RMB66.1 billion as of March 31, 2026 and RMB65.2 billion as of June 30, 2025. In addition, AUA associated with our online securities services, which is not included in the International AUA figures presented above, was RMB2.8 billion (US$0.4 billion) as of June 30, 2026, compared with RMB2.8 billion as of March 31, 2026 and RMB2.6 billion as of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Number of international relationship managers working under this segment </w:t>
            </w:r>
            <w:r>
              <w:rPr/>
              <w:t>was 56 as of June 30, 2026, compared with 107 as of June 30, 2025 and 89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AI technology initiatives</w:t>
            </w:r>
            <w:r>
              <w:rPr/>
              <w:t>: In Singapore, we pioneered the "AI + Wealth Management" department, and have seen a 140.0% growth in AUA from June 30, 2025 to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asset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asset management, operating under the Olive Asset Management brand, is the business that manages USD-denominated private equity funds and private secondary products, with a dedicated U.S. product center and partnerships with top-tier global managers across structured products and hedge funds. We are building our offices in Hong Kong, Singapore, Japan and key U.S. markets, including New York and Silicon Valley.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Actively managed international AUM </w:t>
            </w:r>
            <w:r>
              <w:rPr/>
              <w:t>as of June 30, 2026 was RMB43.8 billion (US$6.5 billion), compared with RMB42.6 billion as of March 31, 2026 and RMB41.4 billion as of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Number of relationship managers working under this segment</w:t>
            </w:r>
            <w:r>
              <w:rPr/>
              <w:t xml:space="preserve"> was 41 as of June 30, 2026, compared with 45 as of June 30, 2025 and 43 as of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insurance and comprehensive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insurance and comprehensive services, operating under the Glory Family Heritage brand, is the business that provides comprehensive international services such as insurance distribution, trust services and other family office-style services. With offices in Hong Kong, Singapore and Los Angeles, we provide global coverage to clients.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Number of active clients in this segment</w:t>
            </w:r>
            <w:r>
              <w:rPr/>
              <w:t xml:space="preserve"> during the second quarter of 2026 was 58, compared with 186 during the second quarter of 2025 and 79 during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Number of clients receiving comprehensive services</w:t>
            </w:r>
            <w:r>
              <w:rPr/>
              <w:t xml:space="preserve"> was 714 as of June 30, 2026, compared with 717 as of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Headquarters reflects revenue generated from corporate operations at the Company’s headquarters in Singapore and office in Shanghai, as well as administrative costs and expenses that are not directly allocated to the aforementioned six business segments, including investments in platform-wide technology, AI infrastructure and corporate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Jingbo Wang, co-founder and chairlady of Noah, commented: “Entering 2026, the global macroeconomic landscape has become increasingly complex, marked by rapid policy shifts across jurisdictions and heightened geopolitical tensions. Yet, amidst these uncertainties lie significant opportunities. For Chinese high-net-worth individuals (HNWIs), the need for professional, globalized, and resilient wealth management has never been more critical.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global deployment and newly optimized cost structure firmly position Noah to navigate these dynamics, ensuring sustainable and high-quality growth for the long term. In the first half of 2026, our proactive multi-market strategy—anchored by our booking centers in major financial centers and robust infrastructure—has enabled us to serve as a trusted partner for our clients in safeguarding and growing their wealth across market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remain committed to enhancing our global capabilities, maintaining disciplined risk management, and leveraging technology to create lasting value for our clients and shareholders.”</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4 / 19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for the second quarter of 2026 were RMB619.9 million (US$91.4 million), a 1.5% decrease from the corresponding period in 2025, primarily due to a decrease in one-time commissions from insurance products and lower recurring service fees, partially offset by an increase in performance-based income from mainland China private secondary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 under the segmentation</w:t>
      </w:r>
      <w:r>
        <w:rPr>
          <w:rFonts w:ascii="Times New Roman;Times;Serif" w:hAnsi="Times New Roman;Times;Serif"/>
          <w:b/>
          <w:i w:val="false"/>
          <w:caps w:val="false"/>
          <w:smallCaps w:val="false"/>
          <w:position w:val="7"/>
          <w:sz w:val="16"/>
          <w:sz w:val="20"/>
        </w:rPr>
        <w:t>7</w:t>
      </w:r>
      <w:r>
        <w:rPr>
          <w:rFonts w:ascii="Times New Roman;Times;Serif" w:hAnsi="Times New Roman;Times;Serif"/>
          <w:b/>
          <w:i w:val="false"/>
          <w:caps w:val="false"/>
          <w:smallCaps w:val="false"/>
          <w:sz w:val="20"/>
        </w:rPr>
        <w:t xml:space="preserve"> are as follows:</w:t>
      </w:r>
    </w:p>
    <w:p>
      <w:pPr>
        <w:pStyle w:val="TextBody"/>
        <w:bidi w:val="0"/>
        <w:spacing w:before="0" w:after="0"/>
        <w:ind w:left="0" w:right="0" w:hanging="0"/>
        <w:jc w:val="left"/>
        <w:rPr>
          <w:caps w:val="false"/>
          <w:smallCaps w:val="false"/>
        </w:rPr>
      </w:pPr>
      <w:r>
        <w:rPr>
          <w:caps w:val="false"/>
          <w:smallCaps w:val="false"/>
        </w:rPr>
        <w:t> </w:t>
      </w:r>
    </w:p>
    <w:tbl>
      <w:tblPr>
        <w:tblW w:w="7372" w:type="dxa"/>
        <w:jc w:val="left"/>
        <w:tblInd w:w="0" w:type="dxa"/>
        <w:tblLayout w:type="fixed"/>
        <w:tblCellMar>
          <w:top w:w="0" w:type="dxa"/>
          <w:left w:w="0" w:type="dxa"/>
          <w:bottom w:w="28" w:type="dxa"/>
          <w:right w:w="0" w:type="dxa"/>
        </w:tblCellMar>
      </w:tblPr>
      <w:tblGrid>
        <w:gridCol w:w="4220"/>
        <w:gridCol w:w="60"/>
        <w:gridCol w:w="81"/>
        <w:gridCol w:w="658"/>
        <w:gridCol w:w="60"/>
        <w:gridCol w:w="60"/>
        <w:gridCol w:w="81"/>
        <w:gridCol w:w="658"/>
        <w:gridCol w:w="60"/>
        <w:gridCol w:w="60"/>
        <w:gridCol w:w="128"/>
        <w:gridCol w:w="956"/>
        <w:gridCol w:w="290"/>
      </w:tblGrid>
      <w:tr>
        <w:trPr/>
        <w:tc>
          <w:tcPr>
            <w:tcW w:w="422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millions,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percentages)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Change</w:t>
            </w:r>
          </w:p>
        </w:tc>
        <w:tc>
          <w:tcPr>
            <w:tcW w:w="2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public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asset management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insurance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wealth management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asset 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insurance and comprehensive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revenues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Net revenues for mainland China public securities </w:t>
            </w:r>
            <w:r>
              <w:rPr/>
              <w:t>for the second quarter of 2026 were RMB206.5 million (US$30.4 million), a 56.7% increase from the corresponding period in 2025, primarily due to an increase in performance-based income generated from the distribution of Mainland China private secondary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mainland China asset management</w:t>
            </w:r>
            <w:r>
              <w:rPr/>
              <w:t xml:space="preserve"> for the second quarter of 2026 were RMB165.4 million (US$24.4 million), a 6.6% decrease from the corresponding period in 2025, primarily due to a decrease in recurring service fees from private equity products, partially offset by an increase in performance-based income.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mainland China insurance</w:t>
            </w:r>
            <w:r>
              <w:rPr/>
              <w:t xml:space="preserve"> for the second quarter of 2026 were RMB2.0 million (US$0.3 million), a 71.7% decrease from the corresponding period in 2025, mainly due to a decrease in distribution of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international wealth management</w:t>
            </w:r>
            <w:r>
              <w:rPr/>
              <w:t xml:space="preserve"> for the second quarter of 2026 were RMB88.9 million (US$13.1 million), a 31.3% decrease from the corresponding period in 2025, mainly due to a decrease in one-time commissions from the distribution of International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international asset management</w:t>
            </w:r>
            <w:r>
              <w:rPr/>
              <w:t xml:space="preserve"> for the second quarter of 2026 were RMB106.4 million (US$15.7 million), a 1.8% decrease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international insurance and comprehensive services</w:t>
            </w:r>
            <w:r>
              <w:rPr/>
              <w:t xml:space="preserve"> for the second quarter of 2026 were RMB40.7 million (US$6.0 million), a 31.1% decrease from the corresponding period in 2025, mainly due to a decrease in one-time commissions from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revenues for headquarters</w:t>
            </w:r>
            <w:r>
              <w:rPr/>
              <w:t xml:space="preserve"> for the second quarter of 2026 were RMB10.0 million (US$1.5 million), a 40.0% decrease from RMB16.7 million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costs and expenses</w:t>
      </w:r>
      <w:r>
        <w:rPr>
          <w:rFonts w:ascii="Times New Roman;Times;Serif" w:hAnsi="Times New Roman;Times;Serif"/>
          <w:b w:val="false"/>
          <w:i w:val="false"/>
          <w:caps w:val="false"/>
          <w:smallCaps w:val="false"/>
          <w:sz w:val="20"/>
        </w:rPr>
        <w:t xml:space="preserve"> for the second quarter of 2026 were RMB404.1 million (US$59.5 million), a 13.7% decrease from the corresponding period in 2025. Operating costs and expenses for the second quarter of 2026 primarily consisted of (i) compensation and benefits of RMB260.1 million (US$38.3 million); (ii) selling expenses of RMB56.1 million (US$8.3 million); (iii) general and administrative expenses of RMB74.8 million (US$11.0 million); (iv) provision for credit losses of RMB7.7 million (US$1.1 million); (v) other operating expenses of RMB22.5 million (US$3.3 million); and (vi) income gained from government subsidies of RMB17.1 million (US$2.5 million).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Operating costs and expenses for mainland China public securities</w:t>
            </w:r>
            <w:r>
              <w:rPr/>
              <w:t xml:space="preserve"> for the second quarter of 2026 were RMB27.9 million (US$4.1 million), a 16.6% increase from the corresponding period in 2025, mainly due to a decrease in government subsidies.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Operating costs and expenses for mainland China asset management </w:t>
            </w:r>
            <w:r>
              <w:rPr/>
              <w:t>for the second quarter of 2026 were RMB22.7 million (US$3.3 million), a 3.1%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business segments now referred to as “mainland China public securities,” “mainland China asset management,” “mainland China insurance,” “international wealth management,” “international asset management” and “international insurance and comprehensive services” were previously referred to as “domestic public securities,” “domestic asset management,” “domestic insurance,” “overseas wealth management,” “overseas asset management” and “overseas insurance and comprehensive services,” respectively. These are changes in segment names only and do not involve any material change in the nature or scope of the underlying business activities included in the respective segments. Accordingly, the financial and operating information presented under the renamed segments remains comparable to the corresponding information previously presented under the former segment names.</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5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Operating costs and expenses for mainland China insurance</w:t>
            </w:r>
            <w:r>
              <w:rPr/>
              <w:t xml:space="preserve"> for the second quarter of 2026 were RMB5.6 million (US$0.8 million), a 62.0% decrease from the corresponding period in 2025. The change was consistent with the decline in revenue from mainland China insurance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Operating costs and expenses for international wealth management</w:t>
            </w:r>
            <w:r>
              <w:rPr/>
              <w:t xml:space="preserve"> for the second quarter of 2026 were RMB92.2 million (US$13.6 million), a 9.2% decrease from the corresponding period in 2025, primarily due to a decrease in relationship manager compensation in line with the revenue decline.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Operating costs and expenses for international asset management </w:t>
            </w:r>
            <w:r>
              <w:rPr/>
              <w:t>for the second quarter of 2026 were RMB44.7 million (US$6.6 million), a 25.5% increase from the corresponding period in 2025, primarily due to higher compensation and benefits associated with international asset management business expansion.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Operating costs and expenses for international insurance and comprehensive services</w:t>
            </w:r>
            <w:r>
              <w:rPr/>
              <w:t xml:space="preserve"> for the second quarter of 2026 were RMB26.6 million (US$3.9 million), a 9.1% decrease from the corresponding period in 2025, mainly due to lower compensation and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Operating costs and expenses for headquarters</w:t>
            </w:r>
            <w:r>
              <w:rPr/>
              <w:t xml:space="preserve"> for the second quarter of 2026 were RMB184.3 million (US$27.2 million), a 23.6% decrease from the corresponding period in 2025, primarily due to a decrease in provision for credit losses related to the suspended lending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operations under the segmentation is as follows:</w:t>
      </w:r>
    </w:p>
    <w:p>
      <w:pPr>
        <w:pStyle w:val="TextBody"/>
        <w:bidi w:val="0"/>
        <w:spacing w:before="0" w:after="0"/>
        <w:ind w:left="0" w:right="0" w:hanging="0"/>
        <w:jc w:val="left"/>
        <w:rPr>
          <w:caps w:val="false"/>
          <w:smallCaps w:val="false"/>
        </w:rPr>
      </w:pPr>
      <w:r>
        <w:rPr>
          <w:caps w:val="false"/>
          <w:smallCaps w:val="false"/>
        </w:rPr>
        <w:t> </w:t>
      </w:r>
    </w:p>
    <w:tbl>
      <w:tblPr>
        <w:tblW w:w="7382" w:type="dxa"/>
        <w:jc w:val="left"/>
        <w:tblInd w:w="0" w:type="dxa"/>
        <w:tblLayout w:type="fixed"/>
        <w:tblCellMar>
          <w:top w:w="0" w:type="dxa"/>
          <w:left w:w="0" w:type="dxa"/>
          <w:bottom w:w="28" w:type="dxa"/>
          <w:right w:w="0" w:type="dxa"/>
        </w:tblCellMar>
      </w:tblPr>
      <w:tblGrid>
        <w:gridCol w:w="4220"/>
        <w:gridCol w:w="60"/>
        <w:gridCol w:w="73"/>
        <w:gridCol w:w="666"/>
        <w:gridCol w:w="80"/>
        <w:gridCol w:w="60"/>
        <w:gridCol w:w="73"/>
        <w:gridCol w:w="666"/>
        <w:gridCol w:w="80"/>
        <w:gridCol w:w="60"/>
        <w:gridCol w:w="128"/>
        <w:gridCol w:w="956"/>
        <w:gridCol w:w="260"/>
      </w:tblGrid>
      <w:tr>
        <w:trPr/>
        <w:tc>
          <w:tcPr>
            <w:tcW w:w="42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 millions,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percentages)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 Change</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public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asset management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 insurance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wealth management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asset management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insurance and comprehensive services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income from operations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Income from operations for mainland China public securities</w:t>
            </w:r>
            <w:r>
              <w:rPr/>
              <w:t xml:space="preserve"> for the second quarter of 2026 was RMB178.6 million (US$26.3 million), a 65.5%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Income from operations for mainland China asset management</w:t>
            </w:r>
            <w:r>
              <w:rPr/>
              <w:t xml:space="preserve"> for the second quarter of 2026 was RMB142.7 million (US$21.0 million), an 8.0% decrease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Loss from operations for mainland China insurance</w:t>
            </w:r>
            <w:r>
              <w:rPr/>
              <w:t xml:space="preserve"> for the second quarter of 2026 was RMB3.6 million (US$0.5 million), a 52.8% decrease from the corresponding period in 2025, reflecting a narrower loss.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Loss from operations for international wealth management</w:t>
            </w:r>
            <w:r>
              <w:rPr/>
              <w:t xml:space="preserve"> for the second quarter of 2026 was RMB3.3 million (US$0.5 million), compared with income from operations of RMB27.8 million in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Income from operations for international asset management</w:t>
            </w:r>
            <w:r>
              <w:rPr/>
              <w:t xml:space="preserve"> for the second quarter of 2026 was RMB61.6 million (US$9.1 million), a 15.2% decrease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Income from operations for international insurance and comprehensive services</w:t>
            </w:r>
            <w:r>
              <w:rPr/>
              <w:t xml:space="preserve"> for the second quarter of 2026 was RMB14.1 million (US$2.1 million), a 52.7% decrease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Loss from operations for headquarters</w:t>
            </w:r>
            <w:r>
              <w:rPr/>
              <w:t xml:space="preserve"> for the second quarter of 2026 was RMB174.3 million (US$25.7 million), a 22.4% decrease from the corresponding period in 2025, primarily due to a decrease in provision for credit losses related to the suspended lending business and lower compensation and benefits expenses resulting from disciplined cost control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margin</w:t>
      </w:r>
      <w:r>
        <w:rPr>
          <w:rFonts w:ascii="Times New Roman;Times;Serif" w:hAnsi="Times New Roman;Times;Serif"/>
          <w:b w:val="false"/>
          <w:i w:val="false"/>
          <w:caps w:val="false"/>
          <w:smallCaps w:val="false"/>
          <w:sz w:val="20"/>
        </w:rPr>
        <w:t xml:space="preserve"> for the second quarter of 2026 was 34.8%, compared with 25.6%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 income</w:t>
      </w:r>
      <w:r>
        <w:rPr>
          <w:rFonts w:ascii="Times New Roman;Times;Serif" w:hAnsi="Times New Roman;Times;Serif"/>
          <w:b w:val="false"/>
          <w:i w:val="false"/>
          <w:caps w:val="false"/>
          <w:smallCaps w:val="false"/>
          <w:sz w:val="20"/>
        </w:rPr>
        <w:t xml:space="preserve"> for the second quarter of 2026 was RMB30.4 million (US$4.5 million), a 9.1% decrease from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6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Investment income</w:t>
      </w:r>
      <w:r>
        <w:rPr>
          <w:rFonts w:ascii="Times New Roman;Times;Serif" w:hAnsi="Times New Roman;Times;Serif"/>
          <w:b w:val="false"/>
          <w:i w:val="false"/>
          <w:caps w:val="false"/>
          <w:smallCaps w:val="false"/>
          <w:sz w:val="20"/>
        </w:rPr>
        <w:t xml:space="preserve"> for the second quarter of 2026 was RMB41.8 million (US$6.2 million), compared with an investment loss of RMB13.9 million in the corresponding period in 2025, primarily due to gains resulting from fair value changes in certain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w:t>
      </w:r>
      <w:r>
        <w:rPr>
          <w:rFonts w:ascii="Times New Roman;Times;Serif" w:hAnsi="Times New Roman;Times;Serif"/>
          <w:b w:val="false"/>
          <w:i w:val="false"/>
          <w:caps w:val="false"/>
          <w:smallCaps w:val="false"/>
          <w:sz w:val="20"/>
        </w:rPr>
        <w:t xml:space="preserve"> for the second quarter of 2026 was RMB89.9 million (US$13.3 million), a 41.2% increase from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income</w:t>
            </w:r>
            <w:r>
              <w:rPr/>
              <w:t xml:space="preserve"> for the second quarter of 2026 was RMB236.9 million (US$34.9 million), a 32.7%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margin</w:t>
            </w:r>
            <w:r>
              <w:rPr/>
              <w:t xml:space="preserve"> for the second quarter of 2026 was 38.2%, compared with 28.4%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income attributable to Noah shareholders</w:t>
            </w:r>
            <w:r>
              <w:rPr/>
              <w:t xml:space="preserve"> for the second quarter of 2026 was RMB232.2 million (US$34.2 million), a 30.0%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margin attributable to Noah shareholders</w:t>
            </w:r>
            <w:r>
              <w:rPr/>
              <w:t xml:space="preserve"> for the second quarter of 2026 was 37.5%, compared with 28.4%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Net income attributable to Noah shareholders per basic and diluted ADS</w:t>
            </w:r>
            <w:r>
              <w:rPr/>
              <w:t xml:space="preserve"> for the second quarter of 2026 was RMB3.40 (US$0.50) and RMB3.37 (US$0.50), respectively, compared with RMB2.56 and RMB2.54, respectively,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Attributable to Noah Shareholders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Non-GAAP net income attributable to Noah shareholders</w:t>
            </w:r>
            <w:r>
              <w:rPr/>
              <w:t xml:space="preserve"> for the second quarter of 2026 was RMB238.0 million (US$35.1 million), a 25.9% increase from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Non-GAAP net margin attributable to Noah shareholders</w:t>
            </w:r>
            <w:r>
              <w:rPr/>
              <w:t xml:space="preserve"> for the second quarter of 2026 was 38.4%, compared with 30.0%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Non-GAAP net income attributable to Noah shareholders</w:t>
            </w:r>
            <w:r>
              <w:rPr/>
              <w:t xml:space="preserve"> per diluted ADS for the second quarter of 2026 was RMB3.46 (US$0.51), compared with RMB2.69 for the corresponding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RMB4,322.7 million (US$637.1 million) in cash and cash equivalents, compared with RMB4,280.7 million as of March 31, 2026 and RMB3,821.8 million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outflow from the Company’s operating activities during the second quarter of 2026 was RMB15.0 million (US$2.2 million), compared with a net cash inflow of RMB27.6 million in the corresponding period in 2025, primarily due to an increase in amounts due from related parties and payments of accrued payroll and welfare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from the Company’s investing activities during the second quarter of 2026 was RMB108.8 million (US$16.0 million), compared with a net cash outflow of RMB171.7 million in the corresponding period in 2025, primarily due to redemptions of held-to-maturity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outflow from the Company’s financing activities during the second quarter of 2026 was RMB14.7 million (US$2.2 million), compared with RMB71.5 million in the corresponding period in 2025, primarily due to a decrease in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7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senior management will host an earnings conference call to discuss its Q2 2026 Results and recent business activities. Details of the conference call are as follows:</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510"/>
        <w:gridCol w:w="6305"/>
      </w:tblGrid>
      <w:tr>
        <w:trPr/>
        <w:tc>
          <w:tcPr>
            <w:tcW w:w="8815" w:type="dxa"/>
            <w:gridSpan w:val="2"/>
            <w:tcBorders/>
            <w:vAlign w:val="center"/>
          </w:tcPr>
          <w:p>
            <w:pPr>
              <w:pStyle w:val="TableContents"/>
              <w:bidi w:val="0"/>
              <w:spacing w:before="0" w:after="283"/>
              <w:jc w:val="left"/>
              <w:rPr/>
            </w:pPr>
            <w:r>
              <w:rPr/>
              <w:t> </w:t>
            </w:r>
            <w:r>
              <w:rPr>
                <w:rFonts w:ascii="Times New Roman;Times;Serif" w:hAnsi="Times New Roman;Times;Serif"/>
                <w:b/>
                <w:sz w:val="20"/>
              </w:rPr>
              <w:t>Dial-in details</w:t>
            </w:r>
            <w:r>
              <w:rPr>
                <w:rFonts w:ascii="Times New Roman;Times;Serif" w:hAnsi="Times New Roman;Times;Serif"/>
                <w:sz w:val="20"/>
              </w:rPr>
              <w:t>:</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title:</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Holdings Second Quarter and Half Year 2026 Earnings Conference Call</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Date/Time:</w:t>
            </w:r>
          </w:p>
        </w:tc>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August 25, 2026 at 8:00 p.m., U.S. Eastern Time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August 26, 2026 at 8:00 a.m., Hong Kong Time</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Dial in:</w:t>
            </w:r>
          </w:p>
        </w:tc>
        <w:tc>
          <w:tcPr>
            <w:tcW w:w="6305" w:type="dxa"/>
            <w:tcBorders/>
            <w:shd w:fill="FFFF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Hong Kong Toll Free:</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800-963976</w:t>
            </w:r>
          </w:p>
        </w:tc>
      </w:tr>
      <w:tr>
        <w:trPr/>
        <w:tc>
          <w:tcPr>
            <w:tcW w:w="2510"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United States Toll Free:</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1-888-317-6003</w:t>
            </w:r>
          </w:p>
        </w:tc>
      </w:tr>
      <w:tr>
        <w:trPr/>
        <w:tc>
          <w:tcPr>
            <w:tcW w:w="2510"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Mainland China Local Toll:</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+86-4001-206115</w:t>
            </w:r>
          </w:p>
        </w:tc>
      </w:tr>
      <w:tr>
        <w:trPr/>
        <w:tc>
          <w:tcPr>
            <w:tcW w:w="2510"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International Toll:</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1-412-317-6061</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 Password:</w:t>
            </w:r>
          </w:p>
        </w:tc>
        <w:tc>
          <w:tcPr>
            <w:tcW w:w="6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4116275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will be available starting approximately one hour after the end of the conference until August 31, 2026 at 1-855-669-9658 (US Toll Free) and 1-412-317-0088 (International Toll) with the access code 8252319.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DISCUSSION ON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financial results prepared in accordance with U.S. GAAP, the Company’s earnings release contains non-GAAP financial measures excluding the effects of all forms of share-based compensation and net of tax impact, if any. See “Reconciliation of GAAP to Non-GAAP Results”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disclosed by the Company should not be considered a substitute for financial measures prepared in accordance with U.S. GAAP. The financial results reported in accordance with U.S. GAAP and reconciliation of GAAP to non-GAAP results should be carefully evaluated. The non-GAAP financial measures used by the Company may be prepared differently from and, therefore, may not be comparable to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the Company’s operating performance in the periods presented, management reviewed the foregoing non-GAAP net income attributable to Noah shareholders and per diluted ADS and non-GAAP net margin attributable to Noah shareholders to supplement U.S. GAAP financial data. As such, the Company’s management believes that the presentation of the non-GAAP financial measures provides important supplemental information to investors regarding financial and business trends relating to its results of operations in a manner consistent with that used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NOAH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Noah Holdings Limited (NYSE: NOAH and HKEX: 6686) is a leading and pioneer wealth management service provider offering comprehensive one-stop advisory services on global investment and asset allocation primarily for global Chinese high-net-worth investors. Noah's American depositary shares, or ADSs, are listed on the New York Stock Exchange under the symbol "NOAH," and its shares are listed on the Main Board of the Hong Kong Stock Exchange under the stock code "6686." One ADS represents five ordinary shares, par value $0.00005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Noah distributed RMB40.4 billion (US$6.0 billion) of investment products. Through Gopher Asset Management and Olive Asset Management, Noah had assets under management of RMB140.9 billion (US$20.8 billion)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2005, the firm pioneered a business model combining wealth management and asset management and has continued to build its international platform over the years. As of June 30, 2026, Noah had 469,987 registered clients. The Company reports its operations under six business segments — Mainland China public securities (Noah Upright), Mainland China asset management (Gopher Asset Management), Mainland China insurance (Glory), International wealth management (ARK Wealth Management), International asset management (Olive Asset Management), and International insurance and comprehensive services (Glory Family Heritage) — plus headquarters. As of June 30, 2026, Noah had established branches and service capabilities across mainland China, Hong Kong, Singapore, Japan, and key U.S. markets, including New York, Los Angeles, and Silicon Valley, reflecting its international operating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Noah’s investor relations website at ir.noahgroup.com.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the unaudited financial results for the second quarter of 2026 are stated in RMB. This announcement contains currency conversions of certain RMB amounts into US$ at specified rates solely for the convenience of the reader. Unless otherwise noted, all translations from RMB to US$ are made at a rate of RMB6.7851 to US$1.00, the effective noon buying rate for June 30, 2026 as set forth in the H.10 statistical release of the Federal Reserve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8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+86-21-8035-8292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ir@noahgroup.com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FINANCIAL AND OPERATIONAL TABLES FOLLOW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9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3155"/>
        <w:gridCol w:w="60"/>
        <w:gridCol w:w="60"/>
        <w:gridCol w:w="950"/>
        <w:gridCol w:w="60"/>
        <w:gridCol w:w="60"/>
        <w:gridCol w:w="60"/>
        <w:gridCol w:w="950"/>
        <w:gridCol w:w="60"/>
        <w:gridCol w:w="60"/>
        <w:gridCol w:w="60"/>
        <w:gridCol w:w="845"/>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4,322,663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711,704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680,951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826,165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6,464,881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6,576,249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969,219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1,051,622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1,142,706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2,325,755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11,611,940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11,636,904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1,715,068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welfare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504,920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1,680,943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2,147,941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316,568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9,930,997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9,488,963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1,398,500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11,611,940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11,636,904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1,715,068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10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5135"/>
        <w:gridCol w:w="60"/>
        <w:gridCol w:w="60"/>
        <w:gridCol w:w="950"/>
        <w:gridCol w:w="185"/>
        <w:gridCol w:w="60"/>
        <w:gridCol w:w="60"/>
        <w:gridCol w:w="950"/>
        <w:gridCol w:w="185"/>
        <w:gridCol w:w="60"/>
        <w:gridCol w:w="60"/>
        <w:gridCol w:w="950"/>
        <w:gridCol w:w="185"/>
        <w:gridCol w:w="60"/>
        <w:gridCol w:w="71"/>
        <w:gridCol w:w="579"/>
        <w:gridCol w:w="29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center"/>
              <w:rPr/>
            </w:pPr>
            <w:r>
              <w:rPr/>
              <w:t> </w:t>
            </w:r>
          </w:p>
        </w:tc>
        <w:tc>
          <w:tcPr>
            <w:tcW w:w="579" w:type="dxa"/>
            <w:tcBorders/>
            <w:shd w:fill="FFFFFF" w:val="clear"/>
            <w:vAlign w:val="center"/>
          </w:tcPr>
          <w:p>
            <w:pPr>
              <w:pStyle w:val="TableContents"/>
              <w:bidi w:val="0"/>
              <w:spacing w:before="0" w:after="283"/>
              <w:jc w:val="center"/>
              <w:rPr/>
            </w:pPr>
            <w:r>
              <w:rPr/>
              <w:t> </w:t>
            </w:r>
          </w:p>
        </w:tc>
        <w:tc>
          <w:tcPr>
            <w:tcW w:w="290" w:type="dxa"/>
            <w:tcBorders/>
            <w:shd w:fill="FFFFFF" w:val="clear"/>
            <w:vAlign w:val="center"/>
          </w:tcPr>
          <w:p>
            <w:pPr>
              <w:pStyle w:val="TableContents"/>
              <w:bidi w:val="0"/>
              <w:spacing w:before="0" w:after="283"/>
              <w:ind w:left="0" w:right="0" w:hanging="162"/>
              <w:jc w:val="center"/>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2"/>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2"/>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595.2</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35,716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379,142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374,876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funds Gopher/Olive manages: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2"/>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funds Gopher/Olive manages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625,880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VAT related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629,501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619,899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2"/>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2"/>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 manager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(99,446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(175,551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(160,661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(71,196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(74,849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162.7</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(468,475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(404,094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29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161,026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215,805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2"/>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(13,938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contingent litigation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CCEE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FFFFFF" w:val="clear"/>
            <w:vAlign w:val="center"/>
          </w:tcPr>
          <w:p>
            <w:pPr>
              <w:pStyle w:val="TableContents"/>
              <w:bidi w:val="0"/>
              <w:spacing w:before="0" w:after="283"/>
              <w:ind w:left="0" w:right="0" w:hanging="162"/>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56,086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29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taxes and income from equity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40,071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equity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178,537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236,864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(loss)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232,183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34,219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per ADS,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per ADS,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 analysis: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ADS equivalent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69,778,574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68,339,431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68,339,431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70,174,751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68,802,162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68,802,162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equivalent outstanding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65,830,895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68,329,861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68,329,861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all outstanding ordinary shares are represented by ADSs. Five ordinary shares represent one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11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4655"/>
        <w:gridCol w:w="60"/>
        <w:gridCol w:w="60"/>
        <w:gridCol w:w="950"/>
        <w:gridCol w:w="185"/>
        <w:gridCol w:w="60"/>
        <w:gridCol w:w="60"/>
        <w:gridCol w:w="950"/>
        <w:gridCol w:w="185"/>
        <w:gridCol w:w="60"/>
        <w:gridCol w:w="60"/>
        <w:gridCol w:w="950"/>
        <w:gridCol w:w="185"/>
        <w:gridCol w:w="60"/>
        <w:gridCol w:w="60"/>
        <w:gridCol w:w="590"/>
        <w:gridCol w:w="26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199,745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303,427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736,578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funds Gopher/Olive manages: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489,133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from funds Gopher/Olive manages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506,863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1,254,722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1,256,792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VAT related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1,244,095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1,245,650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183,588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Relationship manager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(356,878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(324,941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(47,890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(603,162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(526,849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(77,648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(113,383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subsidies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(897,061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(116,934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347,034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452,243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contingent litigation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taxes and income from equity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416,982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527,108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equity in affiliates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328,356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360,078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327,540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356,898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52,601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per ADS,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per ADS,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 analysis: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ADS equivalent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69,856,207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68,686,576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70,387,492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69,311,742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69,311,742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equivalent outstanding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65,830,895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68,329,861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68,329,861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all outstanding ordinary shares are represented by ADSs. Five ordinary shares represent one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12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Comprehensive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912" w:type="dxa"/>
        <w:jc w:val="left"/>
        <w:tblInd w:w="0" w:type="dxa"/>
        <w:tblLayout w:type="fixed"/>
        <w:tblCellMar>
          <w:top w:w="0" w:type="dxa"/>
          <w:left w:w="0" w:type="dxa"/>
          <w:bottom w:w="0" w:type="dxa"/>
          <w:right w:w="0" w:type="dxa"/>
        </w:tblCellMar>
      </w:tblPr>
      <w:tblGrid>
        <w:gridCol w:w="6155"/>
        <w:gridCol w:w="60"/>
        <w:gridCol w:w="64"/>
        <w:gridCol w:w="750"/>
        <w:gridCol w:w="80"/>
        <w:gridCol w:w="60"/>
        <w:gridCol w:w="64"/>
        <w:gridCol w:w="750"/>
        <w:gridCol w:w="80"/>
        <w:gridCol w:w="60"/>
        <w:gridCol w:w="68"/>
        <w:gridCol w:w="671"/>
        <w:gridCol w:w="80"/>
        <w:gridCol w:w="60"/>
        <w:gridCol w:w="78"/>
        <w:gridCol w:w="572"/>
        <w:gridCol w:w="260"/>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 income, net of tax:</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fluctuation of available-for-sale investments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(loss)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Comprehensive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433" w:type="dxa"/>
        <w:jc w:val="left"/>
        <w:tblInd w:w="0" w:type="dxa"/>
        <w:tblLayout w:type="fixed"/>
        <w:tblCellMar>
          <w:top w:w="0" w:type="dxa"/>
          <w:left w:w="0" w:type="dxa"/>
          <w:bottom w:w="0" w:type="dxa"/>
          <w:right w:w="0" w:type="dxa"/>
        </w:tblCellMar>
      </w:tblPr>
      <w:tblGrid>
        <w:gridCol w:w="5675"/>
        <w:gridCol w:w="60"/>
        <w:gridCol w:w="64"/>
        <w:gridCol w:w="750"/>
        <w:gridCol w:w="80"/>
        <w:gridCol w:w="60"/>
        <w:gridCol w:w="60"/>
        <w:gridCol w:w="755"/>
        <w:gridCol w:w="80"/>
        <w:gridCol w:w="60"/>
        <w:gridCol w:w="62"/>
        <w:gridCol w:w="677"/>
        <w:gridCol w:w="80"/>
        <w:gridCol w:w="60"/>
        <w:gridCol w:w="71"/>
        <w:gridCol w:w="579"/>
        <w:gridCol w:w="2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fluctuation of available-for-sale investments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13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Condensed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8"/>
        <w:gridCol w:w="60"/>
        <w:gridCol w:w="770"/>
        <w:gridCol w:w="80"/>
        <w:gridCol w:w="60"/>
        <w:gridCol w:w="905"/>
        <w:gridCol w:w="80"/>
        <w:gridCol w:w="60"/>
        <w:gridCol w:w="680"/>
        <w:gridCol w:w="80"/>
        <w:gridCol w:w="60"/>
        <w:gridCol w:w="905"/>
        <w:gridCol w:w="80"/>
        <w:gridCol w:w="60"/>
        <w:gridCol w:w="905"/>
        <w:gridCol w:w="80"/>
        <w:gridCol w:w="60"/>
        <w:gridCol w:w="1070"/>
        <w:gridCol w:w="80"/>
        <w:gridCol w:w="60"/>
        <w:gridCol w:w="935"/>
        <w:gridCol w:w="80"/>
        <w:gridCol w:w="60"/>
        <w:gridCol w:w="671"/>
        <w:gridCol w:w="96"/>
      </w:tblGrid>
      <w:tr>
        <w:trPr/>
        <w:tc>
          <w:tcPr>
            <w:tcW w:w="2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2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2026</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 public</w:t>
              <w:br/>
              <w:t>securities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w:t>
              <w:br/>
              <w:t>asset</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w:t>
              <w:br/>
              <w:t>insurance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wealth</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asset</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insurance</w:t>
              <w:br/>
              <w:t>and</w:t>
              <w:br/>
              <w:t>comprehensive</w:t>
              <w:br/>
              <w:t>services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Headquarters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 from others</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86,680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91,332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155,902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95,716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96,578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35,716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 from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198,825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59,569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374,876</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 from funds Gopher/Olive manages</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68,543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207,584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42,788</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 from funds Gopher/Olive manages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77,365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251,004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207,872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625,880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Less: VAT related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(5,981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206,446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165,439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106,357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619,899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costs and expenses:</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Compensation and benefits</w:t>
              <w:br/>
              <w:t>Relationship manager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(99,446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compensations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(160,661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(260,107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(56,082</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(66,620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(74,849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(7,669</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subsidies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17,143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(92,242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(26,606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(184,285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(404,094</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2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178,552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142,738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(3,592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61,608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14,075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(174,279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215,805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14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Condensed Income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6"/>
        <w:gridCol w:w="60"/>
        <w:gridCol w:w="744"/>
        <w:gridCol w:w="80"/>
        <w:gridCol w:w="60"/>
        <w:gridCol w:w="905"/>
        <w:gridCol w:w="80"/>
        <w:gridCol w:w="60"/>
        <w:gridCol w:w="680"/>
        <w:gridCol w:w="80"/>
        <w:gridCol w:w="60"/>
        <w:gridCol w:w="905"/>
        <w:gridCol w:w="80"/>
        <w:gridCol w:w="60"/>
        <w:gridCol w:w="905"/>
        <w:gridCol w:w="80"/>
        <w:gridCol w:w="60"/>
        <w:gridCol w:w="1070"/>
        <w:gridCol w:w="80"/>
        <w:gridCol w:w="60"/>
        <w:gridCol w:w="935"/>
        <w:gridCol w:w="80"/>
        <w:gridCol w:w="60"/>
        <w:gridCol w:w="669"/>
        <w:gridCol w:w="96"/>
      </w:tblGrid>
      <w:tr>
        <w:trPr/>
        <w:tc>
          <w:tcPr>
            <w:tcW w:w="2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93"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 public</w:t>
              <w:br/>
              <w:t>securities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w:t>
              <w:br/>
              <w:t>asset</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Mainland</w:t>
              <w:br/>
              <w:t>China</w:t>
              <w:br/>
              <w:t>insurance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wealth</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asset</w:t>
              <w:br/>
              <w:t>management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International</w:t>
              <w:br/>
              <w:t>insurance</w:t>
              <w:br/>
              <w:t>and</w:t>
              <w:br/>
              <w:t>comprehensive</w:t>
              <w:br/>
              <w:t>services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Headquarters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RMB'000</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Revenues:</w:t>
            </w:r>
          </w:p>
        </w:tc>
        <w:tc>
          <w:tcPr>
            <w:tcW w:w="60"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 from others</w:t>
            </w:r>
          </w:p>
        </w:tc>
        <w:tc>
          <w:tcPr>
            <w:tcW w:w="60"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70,715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154,467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162,047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13,892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48,736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 from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379,142</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Revenues from funds Gopher/Olive manages</w:t>
            </w:r>
          </w:p>
        </w:tc>
        <w:tc>
          <w:tcPr>
            <w:tcW w:w="60"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One-time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Recurring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244,753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Performance-based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9,301</w:t>
            </w:r>
          </w:p>
        </w:tc>
        <w:tc>
          <w:tcPr>
            <w:tcW w:w="9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 from funds Gopher/Olive manages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133,635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255,485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634,627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Less: VAT related surcharges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(5,126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177,157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108,269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629,501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costs and expenses:</w:t>
            </w:r>
          </w:p>
        </w:tc>
        <w:tc>
          <w:tcPr>
            <w:tcW w:w="60"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Compensation and benefits Relationship manager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(62,873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(123,716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compensations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(175,551</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(83,703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(299,267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(62,311</w:t>
            </w:r>
          </w:p>
        </w:tc>
        <w:tc>
          <w:tcPr>
            <w:tcW w:w="9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(62,733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(71,196</w:t>
            </w:r>
          </w:p>
        </w:tc>
        <w:tc>
          <w:tcPr>
            <w:tcW w:w="9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(Reversal of) 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(41,228</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(8,576</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Government subsidies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14,103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(241,218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(468,475</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2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107,863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155,131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(7,612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27,774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72,612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(224,530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161,026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15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Revenue Information by Geography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5228" w:type="dxa"/>
        <w:jc w:val="left"/>
        <w:tblInd w:w="0" w:type="dxa"/>
        <w:tblLayout w:type="fixed"/>
        <w:tblCellMar>
          <w:top w:w="0" w:type="dxa"/>
          <w:left w:w="0" w:type="dxa"/>
          <w:bottom w:w="0" w:type="dxa"/>
          <w:right w:w="0" w:type="dxa"/>
        </w:tblCellMar>
      </w:tblPr>
      <w:tblGrid>
        <w:gridCol w:w="1370"/>
        <w:gridCol w:w="60"/>
        <w:gridCol w:w="87"/>
        <w:gridCol w:w="1026"/>
        <w:gridCol w:w="87"/>
        <w:gridCol w:w="87"/>
        <w:gridCol w:w="87"/>
        <w:gridCol w:w="1026"/>
        <w:gridCol w:w="86"/>
        <w:gridCol w:w="86"/>
        <w:gridCol w:w="112"/>
        <w:gridCol w:w="824"/>
        <w:gridCol w:w="290"/>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2025</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w:t>
              <w:b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8"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RMB, except percentages)</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113" w:type="dxa"/>
            <w:gridSpan w:val="2"/>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13" w:type="dxa"/>
            <w:gridSpan w:val="2"/>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36" w:type="dxa"/>
            <w:gridSpan w:val="2"/>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China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337,921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389,897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231,608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172,922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65,098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63,061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634,627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625,880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Business Information by Product Types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2390"/>
        <w:gridCol w:w="60"/>
        <w:gridCol w:w="87"/>
        <w:gridCol w:w="1026"/>
        <w:gridCol w:w="87"/>
        <w:gridCol w:w="87"/>
        <w:gridCol w:w="87"/>
        <w:gridCol w:w="1026"/>
        <w:gridCol w:w="86"/>
        <w:gridCol w:w="86"/>
        <w:gridCol w:w="112"/>
        <w:gridCol w:w="824"/>
        <w:gridCol w:w="29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2025</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8"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RMB, except percentages)</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securities products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132,068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207,872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176,876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165,620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337,921</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389,897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products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160,393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164,626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43,461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business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10,097</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24,467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296,706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235,983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634,627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625,880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mutual funds and private secondary products.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Includes non-money market mutual fund products, discretionary products, private secondary products, private equity products, real estate products and private credit products.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Includes money market mutual fund products, securities brokerage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16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Operational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315"/>
        <w:gridCol w:w="60"/>
        <w:gridCol w:w="60"/>
        <w:gridCol w:w="695"/>
        <w:gridCol w:w="60"/>
        <w:gridCol w:w="60"/>
        <w:gridCol w:w="60"/>
        <w:gridCol w:w="695"/>
        <w:gridCol w:w="60"/>
        <w:gridCol w:w="60"/>
        <w:gridCol w:w="116"/>
        <w:gridCol w:w="534"/>
        <w:gridCol w:w="20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registered clients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82" w:type="dxa"/>
        <w:jc w:val="left"/>
        <w:tblInd w:w="0" w:type="dxa"/>
        <w:tblLayout w:type="fixed"/>
        <w:tblCellMar>
          <w:top w:w="0" w:type="dxa"/>
          <w:left w:w="0" w:type="dxa"/>
          <w:bottom w:w="0" w:type="dxa"/>
          <w:right w:w="0" w:type="dxa"/>
        </w:tblCellMar>
      </w:tblPr>
      <w:tblGrid>
        <w:gridCol w:w="2225"/>
        <w:gridCol w:w="60"/>
        <w:gridCol w:w="133"/>
        <w:gridCol w:w="1320"/>
        <w:gridCol w:w="133"/>
        <w:gridCol w:w="133"/>
        <w:gridCol w:w="133"/>
        <w:gridCol w:w="1320"/>
        <w:gridCol w:w="114"/>
        <w:gridCol w:w="114"/>
        <w:gridCol w:w="148"/>
        <w:gridCol w:w="1089"/>
        <w:gridCol w:w="260"/>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2025</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37"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of RMB, except number of active clients and</w:t>
              <w:br/>
              <w:t>percentages)</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active clients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value: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equity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secondary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5,975</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5,806</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9,264</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9,122</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transaction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16,975</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17,167</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17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of International Business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536" w:type="dxa"/>
        <w:jc w:val="left"/>
        <w:tblInd w:w="0" w:type="dxa"/>
        <w:tblLayout w:type="fixed"/>
        <w:tblCellMar>
          <w:top w:w="0" w:type="dxa"/>
          <w:left w:w="0" w:type="dxa"/>
          <w:bottom w:w="0" w:type="dxa"/>
          <w:right w:w="0" w:type="dxa"/>
        </w:tblCellMar>
      </w:tblPr>
      <w:tblGrid>
        <w:gridCol w:w="5780"/>
        <w:gridCol w:w="60"/>
        <w:gridCol w:w="70"/>
        <w:gridCol w:w="693"/>
        <w:gridCol w:w="70"/>
        <w:gridCol w:w="70"/>
        <w:gridCol w:w="70"/>
        <w:gridCol w:w="693"/>
        <w:gridCol w:w="60"/>
        <w:gridCol w:w="60"/>
        <w:gridCol w:w="78"/>
        <w:gridCol w:w="572"/>
        <w:gridCol w:w="260"/>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2025</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International (RMB, million)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International Registered Clients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18,967</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International Active Clients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Value of International Investment Products (RMB,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International Relationship Managers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Assets Under Management (RMB, billion)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Assets Under Advisory (RMB, billion)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18 / 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RMB, except for per ADS data and percentages)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6035"/>
        <w:gridCol w:w="60"/>
        <w:gridCol w:w="64"/>
        <w:gridCol w:w="750"/>
        <w:gridCol w:w="185"/>
        <w:gridCol w:w="60"/>
        <w:gridCol w:w="64"/>
        <w:gridCol w:w="750"/>
        <w:gridCol w:w="185"/>
        <w:gridCol w:w="60"/>
        <w:gridCol w:w="78"/>
        <w:gridCol w:w="572"/>
        <w:gridCol w:w="260"/>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232,183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for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26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tax effect of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attributable to Noah shareholders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188,982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238,021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26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ind w:left="0" w:right="0" w:hanging="162"/>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 attributable to Noah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margin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ind w:left="0" w:right="0" w:hanging="162"/>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Noah shareholders per ADS,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Noah shareholders per ADS,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RMB, except for per ADS data and percentages)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6035"/>
        <w:gridCol w:w="60"/>
        <w:gridCol w:w="64"/>
        <w:gridCol w:w="750"/>
        <w:gridCol w:w="185"/>
        <w:gridCol w:w="60"/>
        <w:gridCol w:w="64"/>
        <w:gridCol w:w="750"/>
        <w:gridCol w:w="185"/>
        <w:gridCol w:w="60"/>
        <w:gridCol w:w="78"/>
        <w:gridCol w:w="572"/>
        <w:gridCol w:w="260"/>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356,898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for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26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tax effect of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attributable to Noah shareholders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357,770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371,885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60" w:type="dxa"/>
            <w:tcBorders/>
            <w:shd w:fill="FFFF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ind w:left="0" w:right="0" w:hanging="162"/>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 attributable to Noah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margin attributable to Noah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ind w:left="0" w:right="0" w:hanging="162"/>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ind w:left="0" w:right="0" w:hanging="162"/>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Noah shareholders per ADS,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260" w:type="dxa"/>
            <w:tcBorders/>
            <w:shd w:fill="CCEEFF" w:val="clear"/>
            <w:vAlign w:val="center"/>
          </w:tcPr>
          <w:p>
            <w:pPr>
              <w:pStyle w:val="TableContents"/>
              <w:bidi w:val="0"/>
              <w:spacing w:before="0" w:after="283"/>
              <w:ind w:left="0" w:right="0" w:hanging="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Noah shareholders per ADS,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19 / 19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7821</Words>
  <Characters>44164</Characters>
  <CharactersWithSpaces>53792</CharactersWithSpaces>
  <Paragraphs>6303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