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0002039942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283"/>
              <w:jc w:val="left"/>
              <w:rPr/>
            </w:pPr>
            <w:r>
              <w:rPr/>
              <w:t>Name of Issuer</w:t>
            </w:r>
          </w:p>
        </w:tc>
        <w:tc>
          <w:tcPr>
            <w:tcW w:w="4398" w:type="dxa"/>
            <w:tcBorders/>
            <w:vAlign w:val="center"/>
          </w:tcPr>
          <w:p>
            <w:pPr>
              <w:pStyle w:val="TableContents"/>
              <w:bidi w:val="0"/>
              <w:spacing w:before="0" w:after="0"/>
              <w:jc w:val="left"/>
              <w:rPr/>
            </w:pPr>
            <w:r>
              <w:rPr/>
              <w:t>Noah Holdings Limited</w:t>
            </w:r>
          </w:p>
        </w:tc>
      </w:tr>
      <w:tr>
        <w:trPr/>
        <w:tc>
          <w:tcPr>
            <w:tcW w:w="5807" w:type="dxa"/>
            <w:tcBorders/>
            <w:vAlign w:val="center"/>
          </w:tcPr>
          <w:p>
            <w:pPr>
              <w:pStyle w:val="TableContents"/>
              <w:bidi w:val="0"/>
              <w:spacing w:before="0" w:after="283"/>
              <w:jc w:val="left"/>
              <w:rPr/>
            </w:pPr>
            <w:r>
              <w:rPr/>
              <w:t>SEC File Number</w:t>
            </w:r>
          </w:p>
        </w:tc>
        <w:tc>
          <w:tcPr>
            <w:tcW w:w="4398" w:type="dxa"/>
            <w:tcBorders/>
            <w:vAlign w:val="center"/>
          </w:tcPr>
          <w:p>
            <w:pPr>
              <w:pStyle w:val="TableContents"/>
              <w:bidi w:val="0"/>
              <w:spacing w:before="0" w:after="0"/>
              <w:jc w:val="left"/>
              <w:rPr/>
            </w:pPr>
            <w:r>
              <w:rPr/>
              <w:t>001-34936</w:t>
            </w:r>
          </w:p>
        </w:tc>
      </w:tr>
      <w:tr>
        <w:trPr/>
        <w:tc>
          <w:tcPr>
            <w:tcW w:w="5807" w:type="dxa"/>
            <w:tcBorders/>
            <w:vAlign w:val="center"/>
          </w:tcPr>
          <w:p>
            <w:pPr>
              <w:pStyle w:val="TableContents"/>
              <w:bidi w:val="0"/>
              <w:spacing w:before="0" w:after="283"/>
              <w:jc w:val="left"/>
              <w:rPr/>
            </w:pPr>
            <w:r>
              <w:rPr/>
              <w:t>Address of Issuer</w:t>
            </w:r>
          </w:p>
        </w:tc>
        <w:tc>
          <w:tcPr>
            <w:tcW w:w="4398" w:type="dxa"/>
            <w:tcBorders/>
            <w:vAlign w:val="center"/>
          </w:tcPr>
          <w:p>
            <w:pPr>
              <w:pStyle w:val="TableContents"/>
              <w:bidi w:val="0"/>
              <w:spacing w:before="0" w:after="0"/>
              <w:jc w:val="left"/>
              <w:rPr/>
            </w:pPr>
            <w:r>
              <w:rPr/>
              <w:t>333 North Bridge Road, #05-11Odeon 333</w:t>
              <w:br/>
              <w:t>Singapore</w:t>
              <w:br/>
              <w:t xml:space="preserve">SINGAPORE </w:t>
              <w:br/>
              <w:t>188721</w:t>
            </w:r>
          </w:p>
        </w:tc>
      </w:tr>
      <w:tr>
        <w:trPr/>
        <w:tc>
          <w:tcPr>
            <w:tcW w:w="5807" w:type="dxa"/>
            <w:tcBorders/>
            <w:vAlign w:val="center"/>
          </w:tcPr>
          <w:p>
            <w:pPr>
              <w:pStyle w:val="TableContents"/>
              <w:bidi w:val="0"/>
              <w:spacing w:before="0" w:after="283"/>
              <w:jc w:val="left"/>
              <w:rPr/>
            </w:pPr>
            <w:r>
              <w:rPr/>
              <w:t>Phone</w:t>
            </w:r>
          </w:p>
        </w:tc>
        <w:tc>
          <w:tcPr>
            <w:tcW w:w="4398" w:type="dxa"/>
            <w:tcBorders/>
            <w:vAlign w:val="center"/>
          </w:tcPr>
          <w:p>
            <w:pPr>
              <w:pStyle w:val="TableContents"/>
              <w:bidi w:val="0"/>
              <w:spacing w:before="0" w:after="0"/>
              <w:jc w:val="left"/>
              <w:rPr/>
            </w:pPr>
            <w:r>
              <w:rPr/>
              <w:t>86-21-8035-8292</w:t>
            </w:r>
          </w:p>
        </w:tc>
      </w:tr>
      <w:tr>
        <w:trPr/>
        <w:tc>
          <w:tcPr>
            <w:tcW w:w="5807" w:type="dxa"/>
            <w:tcBorders/>
            <w:vAlign w:val="center"/>
          </w:tcPr>
          <w:p>
            <w:pPr>
              <w:pStyle w:val="TableContents"/>
              <w:bidi w:val="0"/>
              <w:spacing w:before="0" w:after="283"/>
              <w:jc w:val="left"/>
              <w:rPr/>
            </w:pPr>
            <w:r>
              <w:rPr/>
              <w:t>Name of Person for Whose Account the Securities are To Be Sold</w:t>
            </w:r>
          </w:p>
        </w:tc>
        <w:tc>
          <w:tcPr>
            <w:tcW w:w="4398" w:type="dxa"/>
            <w:tcBorders/>
            <w:vAlign w:val="center"/>
          </w:tcPr>
          <w:p>
            <w:pPr>
              <w:pStyle w:val="TableContents"/>
              <w:bidi w:val="0"/>
              <w:spacing w:before="0" w:after="0"/>
              <w:jc w:val="left"/>
              <w:rPr/>
            </w:pPr>
            <w:r>
              <w:rPr/>
              <w:t>May Yihong Wu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7" w:type="dxa"/>
            <w:tcBorders/>
            <w:vAlign w:val="center"/>
          </w:tcPr>
          <w:p>
            <w:pPr>
              <w:pStyle w:val="TableContents"/>
              <w:bidi w:val="0"/>
              <w:spacing w:before="0" w:after="283"/>
              <w:jc w:val="left"/>
              <w:rPr/>
            </w:pPr>
            <w:r>
              <w:rPr/>
              <w:t>Relationship to Issuer</w:t>
            </w:r>
          </w:p>
        </w:tc>
        <w:tc>
          <w:tcPr>
            <w:tcW w:w="43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702"/>
        <w:gridCol w:w="1151"/>
        <w:gridCol w:w="1358"/>
        <w:gridCol w:w="1536"/>
        <w:gridCol w:w="1557"/>
        <w:gridCol w:w="1362"/>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ADS (1ADS represents 5 ordinary shares)</w:t>
            </w:r>
          </w:p>
        </w:tc>
        <w:tc>
          <w:tcPr>
            <w:tcW w:w="1702" w:type="dxa"/>
            <w:tcBorders/>
            <w:vAlign w:val="center"/>
          </w:tcPr>
          <w:p>
            <w:pPr>
              <w:pStyle w:val="TableContents"/>
              <w:bidi w:val="0"/>
              <w:spacing w:before="0" w:after="0"/>
              <w:jc w:val="left"/>
              <w:rPr/>
            </w:pPr>
            <w:r>
              <w:rPr/>
              <w:t>Futu Securities International (Hong Kong) Ltd.</w:t>
              <w:br/>
              <w:t>34/F, United Centre</w:t>
              <w:br/>
              <w:t>95 Queensway</w:t>
              <w:br/>
              <w:t>Admiralty   K3   000000</w:t>
            </w:r>
          </w:p>
        </w:tc>
        <w:tc>
          <w:tcPr>
            <w:tcW w:w="1151" w:type="dxa"/>
            <w:tcBorders/>
            <w:vAlign w:val="center"/>
          </w:tcPr>
          <w:p>
            <w:pPr>
              <w:pStyle w:val="TableContents"/>
              <w:bidi w:val="0"/>
              <w:spacing w:before="0" w:after="283"/>
              <w:jc w:val="left"/>
              <w:rPr/>
            </w:pPr>
            <w:r>
              <w:rPr/>
              <w:t>16000</w:t>
            </w:r>
          </w:p>
        </w:tc>
        <w:tc>
          <w:tcPr>
            <w:tcW w:w="1358" w:type="dxa"/>
            <w:tcBorders/>
            <w:vAlign w:val="center"/>
          </w:tcPr>
          <w:p>
            <w:pPr>
              <w:pStyle w:val="TableContents"/>
              <w:bidi w:val="0"/>
              <w:spacing w:before="0" w:after="283"/>
              <w:jc w:val="left"/>
              <w:rPr/>
            </w:pPr>
            <w:r>
              <w:rPr/>
              <w:t>131360.00</w:t>
            </w:r>
          </w:p>
        </w:tc>
        <w:tc>
          <w:tcPr>
            <w:tcW w:w="1536" w:type="dxa"/>
            <w:tcBorders/>
            <w:vAlign w:val="center"/>
          </w:tcPr>
          <w:p>
            <w:pPr>
              <w:pStyle w:val="TableContents"/>
              <w:bidi w:val="0"/>
              <w:spacing w:before="0" w:after="283"/>
              <w:jc w:val="left"/>
              <w:rPr/>
            </w:pPr>
            <w:r>
              <w:rPr/>
              <w:t>68645763</w:t>
            </w:r>
          </w:p>
        </w:tc>
        <w:tc>
          <w:tcPr>
            <w:tcW w:w="1557" w:type="dxa"/>
            <w:tcBorders/>
            <w:vAlign w:val="center"/>
          </w:tcPr>
          <w:p>
            <w:pPr>
              <w:pStyle w:val="TableContents"/>
              <w:bidi w:val="0"/>
              <w:spacing w:before="0" w:after="283"/>
              <w:jc w:val="left"/>
              <w:rPr/>
            </w:pPr>
            <w:r>
              <w:rPr/>
              <w:t>09/24/2026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68"/>
        <w:gridCol w:w="1101"/>
        <w:gridCol w:w="1413"/>
        <w:gridCol w:w="1135"/>
        <w:gridCol w:w="514"/>
        <w:gridCol w:w="1101"/>
        <w:gridCol w:w="1138"/>
        <w:gridCol w:w="1042"/>
        <w:gridCol w:w="1493"/>
      </w:tblGrid>
      <w:tr>
        <w:trPr/>
        <w:tc>
          <w:tcPr>
            <w:tcW w:w="1268" w:type="dxa"/>
            <w:tcBorders/>
            <w:vAlign w:val="center"/>
          </w:tcPr>
          <w:p>
            <w:pPr>
              <w:pStyle w:val="TableHeading"/>
              <w:suppressLineNumbers/>
              <w:bidi w:val="0"/>
              <w:spacing w:before="0" w:after="283"/>
              <w:jc w:val="center"/>
              <w:rPr/>
            </w:pPr>
            <w:r>
              <w:rPr/>
              <w:t>Title of the Class</w:t>
            </w:r>
          </w:p>
        </w:tc>
        <w:tc>
          <w:tcPr>
            <w:tcW w:w="1101" w:type="dxa"/>
            <w:tcBorders/>
            <w:vAlign w:val="center"/>
          </w:tcPr>
          <w:p>
            <w:pPr>
              <w:pStyle w:val="TableHeading"/>
              <w:suppressLineNumbers/>
              <w:bidi w:val="0"/>
              <w:spacing w:before="0" w:after="283"/>
              <w:jc w:val="center"/>
              <w:rPr/>
            </w:pPr>
            <w:r>
              <w:rPr/>
              <w:t>Date you Acquired</w:t>
            </w:r>
          </w:p>
        </w:tc>
        <w:tc>
          <w:tcPr>
            <w:tcW w:w="1413" w:type="dxa"/>
            <w:tcBorders/>
            <w:vAlign w:val="center"/>
          </w:tcPr>
          <w:p>
            <w:pPr>
              <w:pStyle w:val="TableHeading"/>
              <w:suppressLineNumbers/>
              <w:bidi w:val="0"/>
              <w:spacing w:before="0" w:after="283"/>
              <w:jc w:val="center"/>
              <w:rPr/>
            </w:pPr>
            <w:r>
              <w:rPr/>
              <w:t>Nature of Acquisition Transaction</w:t>
            </w:r>
          </w:p>
        </w:tc>
        <w:tc>
          <w:tcPr>
            <w:tcW w:w="1135"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1" w:type="dxa"/>
            <w:tcBorders/>
            <w:vAlign w:val="center"/>
          </w:tcPr>
          <w:p>
            <w:pPr>
              <w:pStyle w:val="TableHeading"/>
              <w:suppressLineNumbers/>
              <w:bidi w:val="0"/>
              <w:spacing w:before="0" w:after="283"/>
              <w:jc w:val="center"/>
              <w:rPr/>
            </w:pPr>
            <w:r>
              <w:rPr/>
              <w:t>Date Donor Acquired</w:t>
            </w:r>
          </w:p>
        </w:tc>
        <w:tc>
          <w:tcPr>
            <w:tcW w:w="1138"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49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68" w:type="dxa"/>
            <w:tcBorders/>
            <w:vAlign w:val="center"/>
          </w:tcPr>
          <w:p>
            <w:pPr>
              <w:pStyle w:val="TableContents"/>
              <w:bidi w:val="0"/>
              <w:spacing w:before="0" w:after="283"/>
              <w:jc w:val="left"/>
              <w:rPr/>
            </w:pPr>
            <w:r>
              <w:rPr/>
              <w:t>Ordinary Shares represented by ADS</w:t>
            </w:r>
          </w:p>
        </w:tc>
        <w:tc>
          <w:tcPr>
            <w:tcW w:w="1101" w:type="dxa"/>
            <w:tcBorders/>
            <w:vAlign w:val="center"/>
          </w:tcPr>
          <w:p>
            <w:pPr>
              <w:pStyle w:val="TableContents"/>
              <w:bidi w:val="0"/>
              <w:spacing w:before="0" w:after="283"/>
              <w:jc w:val="left"/>
              <w:rPr/>
            </w:pPr>
            <w:r>
              <w:rPr/>
              <w:t>11/16/2019</w:t>
            </w:r>
          </w:p>
        </w:tc>
        <w:tc>
          <w:tcPr>
            <w:tcW w:w="1413" w:type="dxa"/>
            <w:tcBorders/>
            <w:vAlign w:val="center"/>
          </w:tcPr>
          <w:p>
            <w:pPr>
              <w:pStyle w:val="TableContents"/>
              <w:bidi w:val="0"/>
              <w:spacing w:before="0" w:after="283"/>
              <w:jc w:val="left"/>
              <w:rPr/>
            </w:pPr>
            <w:r>
              <w:rPr/>
              <w:t>Stock option exercised and restricted shares grants vested under Share Incentive Plan of Noah Holdings Limited</w:t>
            </w:r>
          </w:p>
        </w:tc>
        <w:tc>
          <w:tcPr>
            <w:tcW w:w="1135" w:type="dxa"/>
            <w:tcBorders/>
            <w:vAlign w:val="center"/>
          </w:tcPr>
          <w:p>
            <w:pPr>
              <w:pStyle w:val="TableContents"/>
              <w:bidi w:val="0"/>
              <w:spacing w:before="0" w:after="283"/>
              <w:jc w:val="left"/>
              <w:rPr/>
            </w:pPr>
            <w:r>
              <w:rPr/>
              <w:t>Noah Holdings Limited</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4000</w:t>
            </w:r>
          </w:p>
        </w:tc>
        <w:tc>
          <w:tcPr>
            <w:tcW w:w="1042" w:type="dxa"/>
            <w:tcBorders/>
            <w:vAlign w:val="center"/>
          </w:tcPr>
          <w:p>
            <w:pPr>
              <w:pStyle w:val="TableContents"/>
              <w:bidi w:val="0"/>
              <w:spacing w:before="0" w:after="283"/>
              <w:jc w:val="left"/>
              <w:rPr/>
            </w:pPr>
            <w:r>
              <w:rPr/>
              <w:t>11/16/2019</w:t>
            </w:r>
          </w:p>
        </w:tc>
        <w:tc>
          <w:tcPr>
            <w:tcW w:w="1493" w:type="dxa"/>
            <w:tcBorders/>
            <w:vAlign w:val="center"/>
          </w:tcPr>
          <w:p>
            <w:pPr>
              <w:pStyle w:val="TableContents"/>
              <w:bidi w:val="0"/>
              <w:spacing w:before="0" w:after="283"/>
              <w:jc w:val="left"/>
              <w:rPr/>
            </w:pPr>
            <w:r>
              <w:rPr/>
              <w:t>No consideration</w:t>
            </w:r>
          </w:p>
        </w:tc>
      </w:tr>
      <w:tr>
        <w:trPr/>
        <w:tc>
          <w:tcPr>
            <w:tcW w:w="1268" w:type="dxa"/>
            <w:tcBorders/>
            <w:vAlign w:val="center"/>
          </w:tcPr>
          <w:p>
            <w:pPr>
              <w:pStyle w:val="TableContents"/>
              <w:bidi w:val="0"/>
              <w:spacing w:before="0" w:after="283"/>
              <w:jc w:val="left"/>
              <w:rPr/>
            </w:pPr>
            <w:r>
              <w:rPr/>
              <w:t>Ordinary Shares represented by ADS</w:t>
            </w:r>
          </w:p>
        </w:tc>
        <w:tc>
          <w:tcPr>
            <w:tcW w:w="1101" w:type="dxa"/>
            <w:tcBorders/>
            <w:vAlign w:val="center"/>
          </w:tcPr>
          <w:p>
            <w:pPr>
              <w:pStyle w:val="TableContents"/>
              <w:bidi w:val="0"/>
              <w:spacing w:before="0" w:after="283"/>
              <w:jc w:val="left"/>
              <w:rPr/>
            </w:pPr>
            <w:r>
              <w:rPr/>
              <w:t>11/16/2020</w:t>
            </w:r>
          </w:p>
        </w:tc>
        <w:tc>
          <w:tcPr>
            <w:tcW w:w="1413" w:type="dxa"/>
            <w:tcBorders/>
            <w:vAlign w:val="center"/>
          </w:tcPr>
          <w:p>
            <w:pPr>
              <w:pStyle w:val="TableContents"/>
              <w:bidi w:val="0"/>
              <w:spacing w:before="0" w:after="283"/>
              <w:jc w:val="left"/>
              <w:rPr/>
            </w:pPr>
            <w:r>
              <w:rPr/>
              <w:t>Stock option exercised and restricted shares grants vested under Share Incentive Plan of Noah Holdings Limited</w:t>
            </w:r>
          </w:p>
        </w:tc>
        <w:tc>
          <w:tcPr>
            <w:tcW w:w="1135" w:type="dxa"/>
            <w:tcBorders/>
            <w:vAlign w:val="center"/>
          </w:tcPr>
          <w:p>
            <w:pPr>
              <w:pStyle w:val="TableContents"/>
              <w:bidi w:val="0"/>
              <w:spacing w:before="0" w:after="283"/>
              <w:jc w:val="left"/>
              <w:rPr/>
            </w:pPr>
            <w:r>
              <w:rPr/>
              <w:t>Noah Holdings Limited</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12000</w:t>
            </w:r>
          </w:p>
        </w:tc>
        <w:tc>
          <w:tcPr>
            <w:tcW w:w="1042" w:type="dxa"/>
            <w:tcBorders/>
            <w:vAlign w:val="center"/>
          </w:tcPr>
          <w:p>
            <w:pPr>
              <w:pStyle w:val="TableContents"/>
              <w:bidi w:val="0"/>
              <w:spacing w:before="0" w:after="283"/>
              <w:jc w:val="left"/>
              <w:rPr/>
            </w:pPr>
            <w:r>
              <w:rPr/>
              <w:t>11/16/2020</w:t>
            </w:r>
          </w:p>
        </w:tc>
        <w:tc>
          <w:tcPr>
            <w:tcW w:w="1493" w:type="dxa"/>
            <w:tcBorders/>
            <w:vAlign w:val="center"/>
          </w:tcPr>
          <w:p>
            <w:pPr>
              <w:pStyle w:val="TableContents"/>
              <w:bidi w:val="0"/>
              <w:spacing w:before="0" w:after="283"/>
              <w:jc w:val="left"/>
              <w:rPr/>
            </w:pPr>
            <w:r>
              <w:rPr/>
              <w:t>No consideration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32"/>
        <w:gridCol w:w="5673"/>
      </w:tblGrid>
      <w:tr>
        <w:trPr/>
        <w:tc>
          <w:tcPr>
            <w:tcW w:w="4532" w:type="dxa"/>
            <w:tcBorders/>
            <w:vAlign w:val="center"/>
          </w:tcPr>
          <w:p>
            <w:pPr>
              <w:pStyle w:val="TableContents"/>
              <w:bidi w:val="0"/>
              <w:spacing w:before="0" w:after="283"/>
              <w:jc w:val="left"/>
              <w:rPr/>
            </w:pPr>
            <w:r>
              <w:rPr/>
              <w:t>Remarks</w:t>
            </w:r>
          </w:p>
        </w:tc>
        <w:tc>
          <w:tcPr>
            <w:tcW w:w="5673" w:type="dxa"/>
            <w:tcBorders/>
            <w:vAlign w:val="center"/>
          </w:tcPr>
          <w:p>
            <w:pPr>
              <w:pStyle w:val="TableContents"/>
              <w:bidi w:val="0"/>
              <w:spacing w:before="0" w:after="283"/>
              <w:jc w:val="left"/>
              <w:rPr>
                <w:sz w:val="4"/>
                <w:szCs w:val="4"/>
              </w:rPr>
            </w:pPr>
            <w:r>
              <w:rPr>
                <w:sz w:val="4"/>
                <w:szCs w:val="4"/>
              </w:rPr>
            </w:r>
          </w:p>
        </w:tc>
      </w:tr>
      <w:tr>
        <w:trPr/>
        <w:tc>
          <w:tcPr>
            <w:tcW w:w="4532" w:type="dxa"/>
            <w:tcBorders/>
            <w:vAlign w:val="center"/>
          </w:tcPr>
          <w:p>
            <w:pPr>
              <w:pStyle w:val="TableContents"/>
              <w:bidi w:val="0"/>
              <w:spacing w:before="0" w:after="283"/>
              <w:jc w:val="left"/>
              <w:rPr/>
            </w:pPr>
            <w:r>
              <w:rPr/>
              <w:t>Date of Notice</w:t>
            </w:r>
          </w:p>
        </w:tc>
        <w:tc>
          <w:tcPr>
            <w:tcW w:w="5673"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32" w:type="dxa"/>
            <w:tcBorders/>
            <w:vAlign w:val="center"/>
          </w:tcPr>
          <w:p>
            <w:pPr>
              <w:pStyle w:val="TableContents"/>
              <w:bidi w:val="0"/>
              <w:spacing w:before="0" w:after="283"/>
              <w:jc w:val="left"/>
              <w:rPr/>
            </w:pPr>
            <w:r>
              <w:rPr/>
              <w:t>Signature</w:t>
            </w:r>
          </w:p>
        </w:tc>
        <w:tc>
          <w:tcPr>
            <w:tcW w:w="5673" w:type="dxa"/>
            <w:tcBorders/>
            <w:vAlign w:val="center"/>
          </w:tcPr>
          <w:p>
            <w:pPr>
              <w:pStyle w:val="TableContents"/>
              <w:bidi w:val="0"/>
              <w:spacing w:before="0" w:after="0"/>
              <w:jc w:val="left"/>
              <w:rPr/>
            </w:pPr>
            <w:r>
              <w:rPr/>
              <w:t>/s/ May Yihong Wu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3253</Characters>
  <CharactersWithSpaces>3823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