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367d1_6k.htm"/>
      <w:bookmarkStart w:id="1" w:name="kstm262336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Noah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North Bridge Road, #05-11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Odeon 333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188721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6911-8211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9150"/>
      </w:tblGrid>
      <w:tr>
        <w:trPr/>
        <w:tc>
          <w:tcPr>
            <w:tcW w:w="1055" w:type="dxa"/>
            <w:tcBorders/>
            <w:vAlign w:val="center"/>
          </w:tcPr>
          <w:p>
            <w:pPr>
              <w:pStyle w:val="TableContents"/>
              <w:bidi w:val="0"/>
              <w:spacing w:before="0" w:after="283"/>
              <w:jc w:val="left"/>
              <w:rPr/>
            </w:pPr>
            <w:hyperlink w:anchor="tm2623367d1_ex99-1.htm">
              <w:r>
                <w:rPr>
                  <w:rStyle w:val="InternetLink"/>
                  <w:rFonts w:ascii="Times New Roman;Times;Serif" w:hAnsi="Times New Roman;Times;Serif"/>
                  <w:sz w:val="20"/>
                </w:rPr>
                <w:t>Exhibit 99.1</w:t>
              </w:r>
            </w:hyperlink>
          </w:p>
        </w:tc>
        <w:tc>
          <w:tcPr>
            <w:tcW w:w="9150" w:type="dxa"/>
            <w:tcBorders/>
            <w:vAlign w:val="center"/>
          </w:tcPr>
          <w:p>
            <w:pPr>
              <w:pStyle w:val="TableContents"/>
              <w:bidi w:val="0"/>
              <w:spacing w:before="0" w:after="283"/>
              <w:jc w:val="left"/>
              <w:rPr/>
            </w:pPr>
            <w:hyperlink w:anchor="tm2623367d1_ex99-1.htm">
              <w:r>
                <w:rPr>
                  <w:rStyle w:val="InternetLink"/>
                  <w:sz w:val="20"/>
                </w:rPr>
                <w:t xml:space="preserve">Supplemental Announcement </w:t>
              </w:r>
            </w:hyperlink>
            <w:hyperlink w:anchor="tm2623367d1_ex99-1.htm">
              <w:r>
                <w:rPr>
                  <w:rStyle w:val="InternetLink"/>
                  <w:rFonts w:ascii="Times New Roman;Times;Serif" w:hAnsi="Times New Roman;Times;Serif"/>
                  <w:sz w:val="20"/>
                </w:rPr>
                <w:t>Date of Board Meeting and Date of Announcement of Second Quarter and Half Year 2026 Unaudited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1865"/>
        <w:gridCol w:w="545"/>
        <w:gridCol w:w="1895"/>
      </w:tblGrid>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Noah Holdings Limited</w:t>
            </w:r>
          </w:p>
        </w:tc>
      </w:tr>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Qing Pan</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 Pan</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244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 w:name="tm2623367d1_ex99-1.htm"/>
      <w:bookmarkStart w:id="3" w:name="kstm2623367d1_ex991"/>
      <w:bookmarkEnd w:id="2"/>
      <w:bookmarkEnd w:id="3"/>
      <w:r>
        <w:rPr>
          <w:caps w:val="false"/>
          <w:smallCaps w:val="false"/>
        </w:rPr>
        <w:t> </w:t>
      </w:r>
      <w:r>
        <w:br w:type="page"/>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99.1</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Private Wealth and Asset Management Limited</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諾亞控股私人財富資產管理有限公司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 under the name Noah Holdings Limited and carrying on</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in Hong Kong as Noah Holdings Private Wealth and Asset Management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6686)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ANNOUNCEMENT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ANNOUNCEMENT OF SECOND QUARTER AND </w:t>
        <w:br/>
        <w:t>HALF YEAR 2026 UNAUDITED FINANCIAL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announcement (the “</w:t>
      </w:r>
      <w:r>
        <w:rPr>
          <w:rFonts w:ascii="Times New Roman;Times;Serif" w:hAnsi="Times New Roman;Times;Serif"/>
          <w:b/>
          <w:i w:val="false"/>
          <w:caps w:val="false"/>
          <w:smallCaps w:val="false"/>
          <w:sz w:val="20"/>
        </w:rPr>
        <w:t>Announcement</w:t>
      </w:r>
      <w:r>
        <w:rPr>
          <w:rFonts w:ascii="Times New Roman;Times;Serif" w:hAnsi="Times New Roman;Times;Serif"/>
          <w:b w:val="false"/>
          <w:i w:val="false"/>
          <w:caps w:val="false"/>
          <w:smallCaps w:val="false"/>
          <w:sz w:val="20"/>
        </w:rPr>
        <w:t>”) of Noah Holdings Private Wealth and Asset Management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dated August 13, 2026 in relation to the date of the board meeting and the date of announcement of the second quarter and half year 2026 unaudited financial results. Unless the context requires otherwise, capitalized terms used in this announcement shall have the same meanings as those defined in the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subsequently informed by the conference call service provider that the Hong Kong and Mainland China toll-free numbers previously set out in the Announcement would no longer be available for the earnings conference call. Accordingly, the Company would like to update the relevant dial-in details. For ease of reference, the updated dial-in details are set out below, with the changes shown in </w:t>
      </w:r>
      <w:r>
        <w:rPr>
          <w:rFonts w:ascii="Times New Roman;Times;Serif" w:hAnsi="Times New Roman;Times;Serif"/>
          <w:b/>
          <w:i w:val="false"/>
          <w:caps w:val="false"/>
          <w:smallCaps w:val="false"/>
          <w:sz w:val="20"/>
        </w:rPr>
        <w:t>bold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8"/>
        <w:gridCol w:w="7907"/>
      </w:tblGrid>
      <w:tr>
        <w:trPr/>
        <w:tc>
          <w:tcPr>
            <w:tcW w:w="229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Dial-in details:</w:t>
            </w:r>
          </w:p>
        </w:tc>
        <w:tc>
          <w:tcPr>
            <w:tcW w:w="79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98" w:type="dxa"/>
            <w:tcBorders/>
            <w:vAlign w:val="center"/>
          </w:tcPr>
          <w:p>
            <w:pPr>
              <w:pStyle w:val="TableContents"/>
              <w:bidi w:val="0"/>
              <w:spacing w:before="0" w:after="283"/>
              <w:jc w:val="left"/>
              <w:rPr>
                <w:caps w:val="false"/>
                <w:smallCaps w:val="false"/>
              </w:rPr>
            </w:pPr>
            <w:r>
              <w:rPr>
                <w:caps w:val="false"/>
                <w:smallCaps w:val="false"/>
              </w:rPr>
              <w:t> </w:t>
            </w:r>
          </w:p>
        </w:tc>
        <w:tc>
          <w:tcPr>
            <w:tcW w:w="79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title:</w:t>
            </w:r>
          </w:p>
        </w:tc>
        <w:tc>
          <w:tcPr>
            <w:tcW w:w="7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Noah Second Quarter and Half Year 2026 Earnings Conference Call</w:t>
            </w:r>
          </w:p>
        </w:tc>
      </w:tr>
      <w:tr>
        <w:trPr/>
        <w:tc>
          <w:tcPr>
            <w:tcW w:w="2298" w:type="dxa"/>
            <w:tcBorders/>
            <w:vAlign w:val="center"/>
          </w:tcPr>
          <w:p>
            <w:pPr>
              <w:pStyle w:val="TableContents"/>
              <w:bidi w:val="0"/>
              <w:spacing w:before="0" w:after="283"/>
              <w:jc w:val="left"/>
              <w:rPr>
                <w:caps w:val="false"/>
                <w:smallCaps w:val="false"/>
              </w:rPr>
            </w:pPr>
            <w:r>
              <w:rPr>
                <w:caps w:val="false"/>
                <w:smallCaps w:val="false"/>
              </w:rPr>
              <w:t> </w:t>
            </w:r>
          </w:p>
        </w:tc>
        <w:tc>
          <w:tcPr>
            <w:tcW w:w="79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Date/Time:</w:t>
            </w:r>
          </w:p>
        </w:tc>
        <w:tc>
          <w:tcPr>
            <w:tcW w:w="7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Tuesday, August 25, 2026 at 8:00 p.m., U.S. Eastern Time Wednesday, August 26, 2026 at 8:00 a.m., Hong Kong Time</w:t>
            </w:r>
          </w:p>
        </w:tc>
      </w:tr>
      <w:tr>
        <w:trPr/>
        <w:tc>
          <w:tcPr>
            <w:tcW w:w="2298" w:type="dxa"/>
            <w:tcBorders/>
            <w:vAlign w:val="center"/>
          </w:tcPr>
          <w:p>
            <w:pPr>
              <w:pStyle w:val="TableContents"/>
              <w:bidi w:val="0"/>
              <w:spacing w:before="0" w:after="283"/>
              <w:jc w:val="left"/>
              <w:rPr>
                <w:caps w:val="false"/>
                <w:smallCaps w:val="false"/>
              </w:rPr>
            </w:pPr>
            <w:r>
              <w:rPr>
                <w:caps w:val="false"/>
                <w:smallCaps w:val="false"/>
              </w:rPr>
              <w:t> </w:t>
            </w:r>
          </w:p>
        </w:tc>
        <w:tc>
          <w:tcPr>
            <w:tcW w:w="79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Dial in:</w:t>
            </w:r>
          </w:p>
        </w:tc>
        <w:tc>
          <w:tcPr>
            <w:tcW w:w="79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98" w:type="dxa"/>
            <w:tcBorders/>
            <w:vAlign w:val="center"/>
          </w:tcPr>
          <w:p>
            <w:pPr>
              <w:pStyle w:val="TableContents"/>
              <w:bidi w:val="0"/>
              <w:spacing w:before="0" w:after="283"/>
              <w:jc w:val="left"/>
              <w:rPr>
                <w:caps w:val="false"/>
                <w:smallCaps w:val="false"/>
              </w:rPr>
            </w:pPr>
            <w:r>
              <w:rPr>
                <w:caps w:val="false"/>
                <w:smallCaps w:val="false"/>
              </w:rPr>
              <w:t> </w:t>
            </w:r>
          </w:p>
        </w:tc>
        <w:tc>
          <w:tcPr>
            <w:tcW w:w="79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98"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Hong Kong Toll Free:</w:t>
            </w:r>
          </w:p>
        </w:tc>
        <w:tc>
          <w:tcPr>
            <w:tcW w:w="790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800-963976</w:t>
            </w:r>
          </w:p>
        </w:tc>
      </w:tr>
      <w:tr>
        <w:trPr/>
        <w:tc>
          <w:tcPr>
            <w:tcW w:w="2298"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United States Toll Free:</w:t>
            </w:r>
          </w:p>
        </w:tc>
        <w:tc>
          <w:tcPr>
            <w:tcW w:w="7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1-888-317-6003</w:t>
            </w:r>
          </w:p>
        </w:tc>
      </w:tr>
      <w:tr>
        <w:trPr/>
        <w:tc>
          <w:tcPr>
            <w:tcW w:w="2298"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Mainland China Local Toll:</w:t>
            </w:r>
          </w:p>
        </w:tc>
        <w:tc>
          <w:tcPr>
            <w:tcW w:w="790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4001-206115</w:t>
            </w:r>
          </w:p>
        </w:tc>
      </w:tr>
      <w:tr>
        <w:trPr/>
        <w:tc>
          <w:tcPr>
            <w:tcW w:w="2298"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International Toll:</w:t>
            </w:r>
          </w:p>
        </w:tc>
        <w:tc>
          <w:tcPr>
            <w:tcW w:w="7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1-412-317-6061</w:t>
            </w:r>
          </w:p>
        </w:tc>
      </w:tr>
      <w:tr>
        <w:trPr/>
        <w:tc>
          <w:tcPr>
            <w:tcW w:w="2298" w:type="dxa"/>
            <w:tcBorders/>
            <w:vAlign w:val="center"/>
          </w:tcPr>
          <w:p>
            <w:pPr>
              <w:pStyle w:val="TableContents"/>
              <w:bidi w:val="0"/>
              <w:spacing w:before="0" w:after="283"/>
              <w:jc w:val="left"/>
              <w:rPr>
                <w:caps w:val="false"/>
                <w:smallCaps w:val="false"/>
              </w:rPr>
            </w:pPr>
            <w:r>
              <w:rPr>
                <w:caps w:val="false"/>
                <w:smallCaps w:val="false"/>
              </w:rPr>
              <w:t> </w:t>
            </w:r>
          </w:p>
        </w:tc>
        <w:tc>
          <w:tcPr>
            <w:tcW w:w="79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Password:</w:t>
            </w:r>
          </w:p>
        </w:tc>
        <w:tc>
          <w:tcPr>
            <w:tcW w:w="7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4116275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supplemental to and should be read in conjunction with the Announcement. The above updated information does not affect other information and content set out in the Announcement. Save as disclosed in this announcement, all information in the Announcement remains unchanged.</w:t>
      </w:r>
    </w:p>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0" w:type="dxa"/>
          <w:right w:w="0" w:type="dxa"/>
        </w:tblCellMar>
      </w:tblPr>
      <w:tblGrid>
        <w:gridCol w:w="75"/>
        <w:gridCol w:w="5345"/>
      </w:tblGrid>
      <w:tr>
        <w:trPr/>
        <w:tc>
          <w:tcPr>
            <w:tcW w:w="7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sz w:val="20"/>
              </w:rPr>
            </w:pPr>
            <w:r>
              <w:rPr>
                <w:sz w:val="20"/>
              </w:rPr>
              <w:t>By Order of the Board</w:t>
            </w:r>
          </w:p>
        </w:tc>
      </w:tr>
      <w:tr>
        <w:trPr/>
        <w:tc>
          <w:tcPr>
            <w:tcW w:w="7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b/>
                <w:sz w:val="20"/>
              </w:rPr>
            </w:pPr>
            <w:r>
              <w:rPr>
                <w:b/>
                <w:sz w:val="20"/>
              </w:rPr>
              <w:t>Noah Holdings Private Wealth and Asset Management Limited</w:t>
            </w:r>
          </w:p>
        </w:tc>
      </w:tr>
      <w:tr>
        <w:trPr/>
        <w:tc>
          <w:tcPr>
            <w:tcW w:w="7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b/>
                <w:sz w:val="20"/>
              </w:rPr>
            </w:pPr>
            <w:r>
              <w:rPr>
                <w:b/>
                <w:sz w:val="20"/>
              </w:rPr>
              <w:t>Jingbo Wang</w:t>
            </w:r>
          </w:p>
        </w:tc>
      </w:tr>
      <w:tr>
        <w:trPr/>
        <w:tc>
          <w:tcPr>
            <w:tcW w:w="7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Chairwoman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comprises Ms. Jingbo Wang, the chairwoman and Mr. Zhe Yin as Directors; Ms. Chia-Yue Chang, Mr. Boquan He and Mr. David Zhang as non-executive Directors; and Ms. Xiangrong Li, Ms. Cynthia Jinhong Meng and Ms. May Yihong Wu as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3257</Characters>
  <CharactersWithSpaces>3860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