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Noah Holdings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 North Bridge Road, #05-11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Odeon 333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188721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6911-8211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3.1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Seventh Amended and Restated Memorandum and Articles of Association</w:t>
            </w:r>
          </w:p>
        </w:tc>
      </w:tr>
      <w:tr>
        <w:trPr>
          <w:trHeight w:val="20"/>
        </w:trPr>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99.1</w:t>
            </w:r>
          </w:p>
        </w:tc>
        <w:tc>
          <w:tcPr>
            <w:tcW w:w="24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99.2</w:t>
            </w:r>
          </w:p>
        </w:tc>
        <w:tc>
          <w:tcPr>
            <w:tcW w:w="24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Announcement—Poll Results of the Annual General Meeting Held on June 11, 2026 and Payment of Final Dividend and Special Dividend</w:t>
            </w:r>
          </w:p>
        </w:tc>
      </w:tr>
      <w:tr>
        <w:trPr>
          <w:trHeight w:val="696"/>
        </w:trPr>
        <w:tc>
          <w:tcPr>
            <w:tcW w:w="8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380" w:type="dxa"/>
            <w:vAlign w:val="bottom"/>
            <w:tcBorders>
              <w:top w:val="single" w:sz="8" w:color="0000EE"/>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Qing 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SEVENTH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 LIMITED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Adopted by a Special Resolution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passed on June 11, 2026 and effective on June 11, 2026</w:t>
      </w:r>
    </w:p>
    <w:p>
      <w:pPr>
        <w:spacing w:after="0" w:line="207"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 of the Company is Noah Holdings Limited.</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registered office of the Company shall be at the offices of Maples Corporate Services Limited, PO Box 309, Ugland House, Grand Cayman, KY1-1104, Cayman Islands, or at such other place as the Directors may from time to time decide.</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following provisions of this Memorandum, the objects for which the Company is established are unrestricted and the Company shall have full power and authority to carry out any object not prohibited by the Companies Act (As Revised) or as the same may be revised from time to time, or any other law of the Cayman Islands.</w:t>
      </w:r>
    </w:p>
    <w:p>
      <w:pPr>
        <w:spacing w:after="0" w:line="175"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Nothing in this Memorandum shall permit the Company to carry on a business for which a license is required under the laws of the Cayman Islands unless duly licensed.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liability of each Member is limited to the amount from time to time unpaid on such Member’s shares.</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Shares in the Company shall be issued in the currency of the United States of America.</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authorized share capital of the Company is US$50,000 divided into 1,000,000,000 Ordinary Shares of a nominal or par value US$0.00005 each.</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has the power to redeem or purchase any of its shares and to increase or reduce the said capital subject to the provisions of the Companies Act (As Revised), as amended,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32" w:right="20" w:hanging="632"/>
        <w:spacing w:after="0" w:line="282" w:lineRule="auto"/>
        <w:tabs>
          <w:tab w:leader="none" w:pos="632"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has the power to register by way of continuation as a body corporate limited by shares under the laws of any jurisdiction outside the Cayman Islands and to be deregistered in the Cayman Islands.</w:t>
      </w:r>
    </w:p>
    <w:p>
      <w:pPr>
        <w:spacing w:after="0" w:line="161" w:lineRule="exact"/>
        <w:rPr>
          <w:rFonts w:ascii="Times New Roman" w:cs="Times New Roman" w:eastAsia="Times New Roman" w:hAnsi="Times New Roman"/>
          <w:sz w:val="18"/>
          <w:szCs w:val="18"/>
          <w:color w:val="231F20"/>
        </w:rPr>
      </w:pPr>
    </w:p>
    <w:p>
      <w:pPr>
        <w:ind w:left="632" w:hanging="632"/>
        <w:spacing w:after="0" w:line="282" w:lineRule="auto"/>
        <w:tabs>
          <w:tab w:leader="none" w:pos="632"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Capitalized terms that are not defined in this Memorandum of Association bear the same meaning as those given in the Articles of Association of the Company.</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 w:name="page6"/>
    <w:bookmarkEnd w:id="5"/>
    <w:p>
      <w:pPr>
        <w:ind w:left="4040"/>
        <w:spacing w:after="0"/>
        <w:rPr>
          <w:sz w:val="20"/>
          <w:szCs w:val="20"/>
          <w:color w:val="auto"/>
        </w:rPr>
      </w:pPr>
      <w:r>
        <w:rPr>
          <w:rFonts w:ascii="Times New Roman" w:cs="Times New Roman" w:eastAsia="Times New Roman" w:hAnsi="Times New Roman"/>
          <w:sz w:val="18"/>
          <w:szCs w:val="18"/>
          <w:b w:val="1"/>
          <w:bCs w:val="1"/>
          <w:color w:val="231F20"/>
        </w:rPr>
        <w:t>THE COMPANIES ACT (AS REVISED)</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231F20"/>
        </w:rPr>
        <w:t>OF THE CAYMAN ISLANDS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231F20"/>
        </w:rPr>
        <w:t>COMPANY LIMITED BY SHARES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SEVENTH AMENDED AND RESTATED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ARTICLES OF ASSOCIATION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OF</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NOAH HOLDINGS LIMITED</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Adopted by a Special Resolution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passed on June 11, 2026 and effective on June 11,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INTERPRETATION</w:t>
      </w:r>
    </w:p>
    <w:p>
      <w:pPr>
        <w:spacing w:after="0" w:line="229" w:lineRule="exact"/>
        <w:rPr>
          <w:sz w:val="20"/>
          <w:szCs w:val="20"/>
          <w:color w:val="auto"/>
        </w:rPr>
      </w:pPr>
    </w:p>
    <w:p>
      <w:pPr>
        <w:ind w:left="640" w:right="20" w:hanging="632"/>
        <w:spacing w:after="0" w:line="282" w:lineRule="auto"/>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these Articles, Table A in the Schedule in the Companies Act does not apply and unless otherwise defined, the defined terms shall have the meanings assigned to them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“AFFILIATE”</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with respect to any specified Person, any other Person that directly, or indirectly through one or more</w:t>
            </w:r>
          </w:p>
        </w:tc>
      </w:tr>
      <w:tr>
        <w:trPr>
          <w:trHeight w:val="234"/>
        </w:trPr>
        <w:tc>
          <w:tcPr>
            <w:tcW w:w="2800" w:type="dxa"/>
            <w:vAlign w:val="bottom"/>
          </w:tcPr>
          <w:p>
            <w:pPr>
              <w:spacing w:after="0"/>
              <w:rPr>
                <w:sz w:val="20"/>
                <w:szCs w:val="20"/>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intermediaries, controls or is controlled by, or is under common control, with such specified Person;</w:t>
            </w:r>
          </w:p>
        </w:tc>
      </w:tr>
      <w:tr>
        <w:trPr>
          <w:trHeight w:val="373"/>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“ARTICLES”</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these Seventh Amended and Restated Articles of Association of the Company as altered or added to, from</w:t>
            </w:r>
          </w:p>
        </w:tc>
      </w:tr>
      <w:tr>
        <w:trPr>
          <w:trHeight w:val="234"/>
        </w:trPr>
        <w:tc>
          <w:tcPr>
            <w:tcW w:w="2800" w:type="dxa"/>
            <w:vAlign w:val="bottom"/>
          </w:tcPr>
          <w:p>
            <w:pPr>
              <w:spacing w:after="0"/>
              <w:rPr>
                <w:sz w:val="20"/>
                <w:szCs w:val="20"/>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time to time;</w:t>
            </w:r>
          </w:p>
        </w:tc>
      </w:tr>
      <w:tr>
        <w:trPr>
          <w:trHeight w:val="392"/>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“AUDITOR</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the Person for the time being performing the duties of auditor of the Company (if any);</w:t>
            </w:r>
          </w:p>
        </w:tc>
      </w:tr>
      <w:tr>
        <w:trPr>
          <w:trHeight w:val="391"/>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“BOARD”</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the board of Directors for the time being of the Company;</w:t>
            </w:r>
          </w:p>
        </w:tc>
      </w:tr>
      <w:tr>
        <w:trPr>
          <w:trHeight w:val="373"/>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“BUSINESS DAY”</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a day (excluding Saturdays or Sundays), on which banks in Hong Kong, Shanghai, Beijing and New York are</w:t>
            </w:r>
          </w:p>
        </w:tc>
      </w:tr>
      <w:tr>
        <w:trPr>
          <w:trHeight w:val="234"/>
        </w:trPr>
        <w:tc>
          <w:tcPr>
            <w:tcW w:w="2800" w:type="dxa"/>
            <w:vAlign w:val="bottom"/>
          </w:tcPr>
          <w:p>
            <w:pPr>
              <w:spacing w:after="0"/>
              <w:rPr>
                <w:sz w:val="20"/>
                <w:szCs w:val="20"/>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open for general banking business throughout their normal business hours;</w:t>
            </w:r>
          </w:p>
        </w:tc>
      </w:tr>
      <w:tr>
        <w:trPr>
          <w:trHeight w:val="391"/>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“CHAIRMAN”</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the Chairman appointed pursuant to Article 77;</w:t>
            </w:r>
          </w:p>
        </w:tc>
      </w:tr>
      <w:tr>
        <w:trPr>
          <w:trHeight w:val="373"/>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“COMMISSION”</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w w:val="99"/>
              </w:rPr>
              <w:t>Securities and Exchange Commission of the United States of America or any other federal agency for the time</w:t>
            </w:r>
          </w:p>
        </w:tc>
      </w:tr>
      <w:tr>
        <w:trPr>
          <w:trHeight w:val="234"/>
        </w:trPr>
        <w:tc>
          <w:tcPr>
            <w:tcW w:w="2800" w:type="dxa"/>
            <w:vAlign w:val="bottom"/>
          </w:tcPr>
          <w:p>
            <w:pPr>
              <w:spacing w:after="0"/>
              <w:rPr>
                <w:sz w:val="20"/>
                <w:szCs w:val="20"/>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being administering the Securities Act;</w:t>
            </w:r>
          </w:p>
        </w:tc>
      </w:tr>
      <w:tr>
        <w:trPr>
          <w:trHeight w:val="373"/>
        </w:trPr>
        <w:tc>
          <w:tcPr>
            <w:tcW w:w="28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“COMMUNICATION</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video, video-conferencing, internet or online conferencing applications, telephone or tele-conferencing and/or</w:t>
            </w:r>
          </w:p>
        </w:tc>
      </w:tr>
      <w:tr>
        <w:trPr>
          <w:trHeight w:val="216"/>
        </w:trPr>
        <w:tc>
          <w:tcPr>
            <w:tcW w:w="280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FACILITIES”</w:t>
            </w: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any other video-communication, internet or online conferencing application or telecommunications facilities</w:t>
            </w:r>
          </w:p>
        </w:tc>
      </w:tr>
      <w:tr>
        <w:trPr>
          <w:trHeight w:val="216"/>
        </w:trPr>
        <w:tc>
          <w:tcPr>
            <w:tcW w:w="2800" w:type="dxa"/>
            <w:vAlign w:val="bottom"/>
          </w:tcPr>
          <w:p>
            <w:pPr>
              <w:spacing w:after="0"/>
              <w:rPr>
                <w:sz w:val="18"/>
                <w:szCs w:val="18"/>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w w:val="99"/>
              </w:rPr>
              <w:t>by means of which all persons participating in a meeting are capable of hearing and being heard by each other</w:t>
            </w:r>
          </w:p>
        </w:tc>
      </w:tr>
      <w:tr>
        <w:trPr>
          <w:trHeight w:val="234"/>
        </w:trPr>
        <w:tc>
          <w:tcPr>
            <w:tcW w:w="2800" w:type="dxa"/>
            <w:vAlign w:val="bottom"/>
          </w:tcPr>
          <w:p>
            <w:pPr>
              <w:spacing w:after="0"/>
              <w:rPr>
                <w:sz w:val="20"/>
                <w:szCs w:val="20"/>
                <w:color w:val="auto"/>
              </w:rPr>
            </w:pPr>
          </w:p>
        </w:tc>
        <w:tc>
          <w:tcPr>
            <w:tcW w:w="8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and all members’ rights to speak and vote at the meeting are maintained;</w:t>
            </w:r>
          </w:p>
        </w:tc>
      </w:tr>
      <w:tr>
        <w:trPr>
          <w:trHeight w:val="675"/>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00" w:right="3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“COMPANIES ACT”</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Companies Act (As Revised) of the Cayman Islands, as amended, and any statutory amendment or</w:t>
            </w:r>
          </w:p>
        </w:tc>
      </w:tr>
      <w:tr>
        <w:trPr>
          <w:trHeight w:val="216"/>
        </w:trPr>
        <w:tc>
          <w:tcPr>
            <w:tcW w:w="3180" w:type="dxa"/>
            <w:vAlign w:val="bottom"/>
          </w:tcPr>
          <w:p>
            <w:pPr>
              <w:spacing w:after="0"/>
              <w:rPr>
                <w:sz w:val="18"/>
                <w:szCs w:val="18"/>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reenactment thereof. Where any provision of the Companies Act is referred to, the reference is to that</w:t>
            </w:r>
          </w:p>
        </w:tc>
      </w:tr>
      <w:tr>
        <w:trPr>
          <w:trHeight w:val="234"/>
        </w:trPr>
        <w:tc>
          <w:tcPr>
            <w:tcW w:w="318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provision as amended by any law for the time being in force;</w:t>
            </w:r>
          </w:p>
        </w:tc>
      </w:tr>
      <w:tr>
        <w:trPr>
          <w:trHeight w:val="392"/>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“COMPANY”</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Noah Holdings Limited, a Cayman Islands exempted company limited by shares;</w:t>
            </w:r>
          </w:p>
        </w:tc>
      </w:tr>
      <w:tr>
        <w:trPr>
          <w:trHeight w:val="392"/>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“COMPANY’S WEBSITE”</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website of the Company, the address or domain name of which has been notified to Members;</w:t>
            </w: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“CORPORATE</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meaning given to it in the Hong Kong Listing Rules;</w:t>
            </w:r>
          </w:p>
        </w:tc>
      </w:tr>
      <w:tr>
        <w:trPr>
          <w:trHeight w:val="234"/>
        </w:trPr>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COMMUNICATION”</w:t>
            </w:r>
          </w:p>
        </w:tc>
        <w:tc>
          <w:tcPr>
            <w:tcW w:w="8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“DIRECTORS”, “BOARD OF</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directors of the Company for the time being, or as the case may be, the Directors assembled as a Board or</w:t>
            </w:r>
          </w:p>
        </w:tc>
      </w:tr>
      <w:tr>
        <w:trPr>
          <w:trHeight w:val="234"/>
        </w:trPr>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DIRECTORS” and “BOARD”</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as a committee thereof;</w:t>
            </w: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“ELECTRONIC”</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meaning given to it in the Electronic Transactions Act (As Revised) of the Cayman Islands and any</w:t>
            </w:r>
          </w:p>
        </w:tc>
      </w:tr>
      <w:tr>
        <w:trPr>
          <w:trHeight w:val="216"/>
        </w:trPr>
        <w:tc>
          <w:tcPr>
            <w:tcW w:w="3180" w:type="dxa"/>
            <w:vAlign w:val="bottom"/>
          </w:tcPr>
          <w:p>
            <w:pPr>
              <w:spacing w:after="0"/>
              <w:rPr>
                <w:sz w:val="18"/>
                <w:szCs w:val="18"/>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amendment thereto or re-enactments thereof for the time being in force and includes every other law</w:t>
            </w:r>
          </w:p>
        </w:tc>
      </w:tr>
      <w:tr>
        <w:trPr>
          <w:trHeight w:val="234"/>
        </w:trPr>
        <w:tc>
          <w:tcPr>
            <w:tcW w:w="318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incorporated therewith or substituted therefore;</w:t>
            </w: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“ELECTRONIC</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w w:val="99"/>
              </w:rPr>
              <w:t>electronic posting to the Company’s Website, transmission to any number, address or internet website or other</w:t>
            </w:r>
          </w:p>
        </w:tc>
      </w:tr>
      <w:tr>
        <w:trPr>
          <w:trHeight w:val="216"/>
        </w:trPr>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COMMUNICATION”</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electronic delivery methods as otherwise decided and approved by not less than two-thirds of the vote of the</w:t>
            </w:r>
          </w:p>
        </w:tc>
      </w:tr>
      <w:tr>
        <w:trPr>
          <w:trHeight w:val="234"/>
        </w:trPr>
        <w:tc>
          <w:tcPr>
            <w:tcW w:w="318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Board;</w:t>
            </w: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“ELECTRONIC RECORD”</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same meaning as given in the Electronic Transactions Act (As Revised) of the Cayman Islands and any</w:t>
            </w:r>
          </w:p>
        </w:tc>
      </w:tr>
      <w:tr>
        <w:trPr>
          <w:trHeight w:val="216"/>
        </w:trPr>
        <w:tc>
          <w:tcPr>
            <w:tcW w:w="3180" w:type="dxa"/>
            <w:vAlign w:val="bottom"/>
          </w:tcPr>
          <w:p>
            <w:pPr>
              <w:spacing w:after="0"/>
              <w:rPr>
                <w:sz w:val="18"/>
                <w:szCs w:val="18"/>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amendment thereto or re-enactments thereof for the time being in force and includes every other law</w:t>
            </w:r>
          </w:p>
        </w:tc>
      </w:tr>
      <w:tr>
        <w:trPr>
          <w:trHeight w:val="234"/>
        </w:trPr>
        <w:tc>
          <w:tcPr>
            <w:tcW w:w="318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incorporated therewith or substituted therefore;</w:t>
            </w:r>
          </w:p>
        </w:tc>
      </w:tr>
      <w:tr>
        <w:trPr>
          <w:trHeight w:val="392"/>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“EXCHANGE”</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Stock Exchange of Hong Kong Limited;</w:t>
            </w: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“HONG KONG LISTING</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Rules Governing the Listing of Securities on the Exchange as amended from time to time;</w:t>
            </w:r>
          </w:p>
        </w:tc>
      </w:tr>
      <w:tr>
        <w:trPr>
          <w:trHeight w:val="234"/>
        </w:trPr>
        <w:tc>
          <w:tcPr>
            <w:tcW w:w="318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RULES”</w:t>
            </w:r>
          </w:p>
        </w:tc>
        <w:tc>
          <w:tcPr>
            <w:tcW w:w="8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3"/>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“IN WRITING”</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includes writing, printing, lithograph, photograph, type-writing and every other mode of representing words</w:t>
            </w:r>
          </w:p>
        </w:tc>
      </w:tr>
      <w:tr>
        <w:trPr>
          <w:trHeight w:val="216"/>
        </w:trPr>
        <w:tc>
          <w:tcPr>
            <w:tcW w:w="3180" w:type="dxa"/>
            <w:vAlign w:val="bottom"/>
          </w:tcPr>
          <w:p>
            <w:pPr>
              <w:spacing w:after="0"/>
              <w:rPr>
                <w:sz w:val="18"/>
                <w:szCs w:val="18"/>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or figures in a legible and non-transitory form and, only where used in connection with a notice served by the</w:t>
            </w:r>
          </w:p>
        </w:tc>
      </w:tr>
      <w:tr>
        <w:trPr>
          <w:trHeight w:val="216"/>
        </w:trPr>
        <w:tc>
          <w:tcPr>
            <w:tcW w:w="3180" w:type="dxa"/>
            <w:vAlign w:val="bottom"/>
          </w:tcPr>
          <w:p>
            <w:pPr>
              <w:spacing w:after="0"/>
              <w:rPr>
                <w:sz w:val="18"/>
                <w:szCs w:val="18"/>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Company on Members or other persons entitled to receive notices hereunder, shall also include a record</w:t>
            </w:r>
          </w:p>
        </w:tc>
      </w:tr>
      <w:tr>
        <w:trPr>
          <w:trHeight w:val="216"/>
        </w:trPr>
        <w:tc>
          <w:tcPr>
            <w:tcW w:w="3180" w:type="dxa"/>
            <w:vAlign w:val="bottom"/>
          </w:tcPr>
          <w:p>
            <w:pPr>
              <w:spacing w:after="0"/>
              <w:rPr>
                <w:sz w:val="18"/>
                <w:szCs w:val="18"/>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maintained in an electronic medium which is accessible in visible form so as to be useable for subsequent</w:t>
            </w:r>
          </w:p>
        </w:tc>
      </w:tr>
      <w:tr>
        <w:trPr>
          <w:trHeight w:val="234"/>
        </w:trPr>
        <w:tc>
          <w:tcPr>
            <w:tcW w:w="3180" w:type="dxa"/>
            <w:vAlign w:val="bottom"/>
          </w:tcPr>
          <w:p>
            <w:pPr>
              <w:spacing w:after="0"/>
              <w:rPr>
                <w:sz w:val="20"/>
                <w:szCs w:val="20"/>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reference;</w:t>
            </w:r>
          </w:p>
        </w:tc>
      </w:tr>
      <w:tr>
        <w:trPr>
          <w:trHeight w:val="392"/>
        </w:trPr>
        <w:tc>
          <w:tcPr>
            <w:tcW w:w="318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“MEMBER”</w:t>
            </w: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the meaning given to it in the Companies Act;</w:t>
            </w:r>
          </w:p>
        </w:tc>
      </w:tr>
      <w:tr>
        <w:trPr>
          <w:trHeight w:val="675"/>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31" w:right="3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“MEMORANDUM OF</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the Memorandum of Association of the Company, as amended and re-stated from time to time;</w:t>
            </w:r>
          </w:p>
        </w:tc>
      </w:tr>
      <w:tr>
        <w:trPr>
          <w:trHeight w:val="234"/>
        </w:trPr>
        <w:tc>
          <w:tcPr>
            <w:tcW w:w="312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ASSOCIATION”</w:t>
            </w:r>
          </w:p>
        </w:tc>
        <w:tc>
          <w:tcPr>
            <w:tcW w:w="8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“MONTH”</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calendar month;</w:t>
            </w:r>
          </w:p>
        </w:tc>
      </w:tr>
      <w:tr>
        <w:trPr>
          <w:trHeight w:val="39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“ORDINARY RESOLUTION”</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 resolution:</w:t>
            </w:r>
          </w:p>
        </w:tc>
      </w:tr>
      <w:tr>
        <w:trPr>
          <w:trHeight w:val="373"/>
        </w:trPr>
        <w:tc>
          <w:tcPr>
            <w:tcW w:w="3120" w:type="dxa"/>
            <w:vAlign w:val="bottom"/>
          </w:tcPr>
          <w:p>
            <w:pPr>
              <w:spacing w:after="0"/>
              <w:rPr>
                <w:sz w:val="24"/>
                <w:szCs w:val="24"/>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   passed by a simple majority of votes cast by such Members as, being entitled to do so, vote in person or,</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in the case of any Member being an organization, by its duly authorized representative or, where proxies</w:t>
            </w:r>
          </w:p>
        </w:tc>
      </w:tr>
      <w:tr>
        <w:trPr>
          <w:trHeight w:val="234"/>
        </w:trPr>
        <w:tc>
          <w:tcPr>
            <w:tcW w:w="3120" w:type="dxa"/>
            <w:vAlign w:val="bottom"/>
          </w:tcPr>
          <w:p>
            <w:pPr>
              <w:spacing w:after="0"/>
              <w:rPr>
                <w:sz w:val="20"/>
                <w:szCs w:val="20"/>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are allowed, by proxy at a general meeting of the Company; or</w:t>
            </w:r>
          </w:p>
        </w:tc>
      </w:tr>
      <w:tr>
        <w:trPr>
          <w:trHeight w:val="373"/>
        </w:trPr>
        <w:tc>
          <w:tcPr>
            <w:tcW w:w="3120" w:type="dxa"/>
            <w:vAlign w:val="bottom"/>
          </w:tcPr>
          <w:p>
            <w:pPr>
              <w:spacing w:after="0"/>
              <w:rPr>
                <w:sz w:val="24"/>
                <w:szCs w:val="24"/>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(b)   approved in writing by all of the Members entitled to vote at a general meeting of the Company in one or</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more instruments each signed by one or more of the Members and the effective date of the resolution so</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adopted shall be the date on which the instrument, or the last of such instruments if more than one, is</w:t>
            </w:r>
          </w:p>
        </w:tc>
      </w:tr>
      <w:tr>
        <w:trPr>
          <w:trHeight w:val="234"/>
        </w:trPr>
        <w:tc>
          <w:tcPr>
            <w:tcW w:w="3120" w:type="dxa"/>
            <w:vAlign w:val="bottom"/>
          </w:tcPr>
          <w:p>
            <w:pPr>
              <w:spacing w:after="0"/>
              <w:rPr>
                <w:sz w:val="20"/>
                <w:szCs w:val="20"/>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executed;</w:t>
            </w:r>
          </w:p>
        </w:tc>
      </w:tr>
      <w:tr>
        <w:trPr>
          <w:trHeight w:val="39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“ORDINARY SHARES”</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an ordinary share of a nominal or par value of US$0.00005 each in the capital of the Company;</w:t>
            </w:r>
          </w:p>
        </w:tc>
      </w:tr>
      <w:tr>
        <w:trPr>
          <w:trHeight w:val="373"/>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“PAID UP”</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paid up as to the par value and any premium payable in respect of the issue of any shares and includes</w:t>
            </w:r>
          </w:p>
        </w:tc>
      </w:tr>
      <w:tr>
        <w:trPr>
          <w:trHeight w:val="234"/>
        </w:trPr>
        <w:tc>
          <w:tcPr>
            <w:tcW w:w="3120" w:type="dxa"/>
            <w:vAlign w:val="bottom"/>
          </w:tcPr>
          <w:p>
            <w:pPr>
              <w:spacing w:after="0"/>
              <w:rPr>
                <w:sz w:val="20"/>
                <w:szCs w:val="20"/>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credited as paid up;</w:t>
            </w:r>
          </w:p>
        </w:tc>
      </w:tr>
      <w:tr>
        <w:trPr>
          <w:trHeight w:val="373"/>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“PERSON”</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any individual, partnership, firm, corporation, limited liability company, association, trust, unincorporated</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organization or other entity, as well as any syndicate or group that would be deemed to be a person under</w:t>
            </w:r>
          </w:p>
        </w:tc>
      </w:tr>
      <w:tr>
        <w:trPr>
          <w:trHeight w:val="234"/>
        </w:trPr>
        <w:tc>
          <w:tcPr>
            <w:tcW w:w="3120" w:type="dxa"/>
            <w:vAlign w:val="bottom"/>
          </w:tcPr>
          <w:p>
            <w:pPr>
              <w:spacing w:after="0"/>
              <w:rPr>
                <w:sz w:val="20"/>
                <w:szCs w:val="20"/>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section 13(d)(3) of the Securities Exchange Act;</w:t>
            </w:r>
          </w:p>
        </w:tc>
      </w:tr>
      <w:tr>
        <w:trPr>
          <w:trHeight w:val="373"/>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“PRESENT”</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in respect of any person, such person’s presence at a general meeting of Members, which may be satisfied by</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means of such person or, if a corporation or other non-natural person, its duly authorised representative (or, in</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the case of any Member, a proxy which has been validly appointed by such Member in accordance with these</w:t>
            </w:r>
          </w:p>
        </w:tc>
      </w:tr>
      <w:tr>
        <w:trPr>
          <w:trHeight w:val="234"/>
        </w:trPr>
        <w:tc>
          <w:tcPr>
            <w:tcW w:w="3120" w:type="dxa"/>
            <w:vAlign w:val="bottom"/>
          </w:tcPr>
          <w:p>
            <w:pPr>
              <w:spacing w:after="0"/>
              <w:rPr>
                <w:sz w:val="20"/>
                <w:szCs w:val="20"/>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Articles), being:</w:t>
            </w:r>
          </w:p>
        </w:tc>
      </w:tr>
      <w:tr>
        <w:trPr>
          <w:trHeight w:val="392"/>
        </w:trPr>
        <w:tc>
          <w:tcPr>
            <w:tcW w:w="3120" w:type="dxa"/>
            <w:vAlign w:val="bottom"/>
          </w:tcPr>
          <w:p>
            <w:pPr>
              <w:spacing w:after="0"/>
              <w:rPr>
                <w:sz w:val="24"/>
                <w:szCs w:val="24"/>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(a)   physically present at the meeting; or</w:t>
            </w:r>
          </w:p>
        </w:tc>
      </w:tr>
      <w:tr>
        <w:trPr>
          <w:trHeight w:val="373"/>
        </w:trPr>
        <w:tc>
          <w:tcPr>
            <w:tcW w:w="3120" w:type="dxa"/>
            <w:vAlign w:val="bottom"/>
          </w:tcPr>
          <w:p>
            <w:pPr>
              <w:spacing w:after="0"/>
              <w:rPr>
                <w:sz w:val="24"/>
                <w:szCs w:val="24"/>
                <w:color w:val="auto"/>
              </w:rPr>
            </w:pP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(b)   in the case of any meeting at which Communication Facilities are permitted in accordance with these</w:t>
            </w:r>
          </w:p>
        </w:tc>
      </w:tr>
      <w:tr>
        <w:trPr>
          <w:trHeight w:val="216"/>
        </w:trPr>
        <w:tc>
          <w:tcPr>
            <w:tcW w:w="3120" w:type="dxa"/>
            <w:vAlign w:val="bottom"/>
          </w:tcPr>
          <w:p>
            <w:pPr>
              <w:spacing w:after="0"/>
              <w:rPr>
                <w:sz w:val="18"/>
                <w:szCs w:val="18"/>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Articles, including any Virtual Meeting, connected by means of the use of such Communication</w:t>
            </w:r>
          </w:p>
        </w:tc>
      </w:tr>
      <w:tr>
        <w:trPr>
          <w:trHeight w:val="234"/>
        </w:trPr>
        <w:tc>
          <w:tcPr>
            <w:tcW w:w="3120" w:type="dxa"/>
            <w:vAlign w:val="bottom"/>
          </w:tcPr>
          <w:p>
            <w:pPr>
              <w:spacing w:after="0"/>
              <w:rPr>
                <w:sz w:val="20"/>
                <w:szCs w:val="20"/>
                <w:color w:val="auto"/>
              </w:rPr>
            </w:pPr>
          </w:p>
        </w:tc>
        <w:tc>
          <w:tcPr>
            <w:tcW w:w="8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Facilities;</w:t>
            </w:r>
          </w:p>
        </w:tc>
      </w:tr>
      <w:tr>
        <w:trPr>
          <w:trHeight w:val="675"/>
        </w:trPr>
        <w:tc>
          <w:tcPr>
            <w:tcW w:w="31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31"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“RECOGNISED CLEARING</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the meaning ascribed thereto in Part I of Schedule 1 of the Securities and Futures Ordinance (Cap. 571 of the</w:t>
            </w:r>
          </w:p>
        </w:tc>
      </w:tr>
      <w:tr>
        <w:trPr>
          <w:trHeight w:val="216"/>
        </w:trPr>
        <w:tc>
          <w:tcPr>
            <w:tcW w:w="310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HOUSE”</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Laws of Hong Kong) and any amendments thereto or re-enactments thereof for the time being in force and</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includes every other law incorporated therewith or substituted therefor.</w:t>
            </w:r>
          </w:p>
        </w:tc>
      </w:tr>
      <w:tr>
        <w:trPr>
          <w:trHeight w:val="392"/>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“REGISTER OF MEMBERS”</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the register to be kept by the Company in accordance with the Companies Act;</w:t>
            </w:r>
          </w:p>
        </w:tc>
      </w:tr>
      <w:tr>
        <w:trPr>
          <w:trHeight w:val="392"/>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“SEAL”</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the Common Seal of the Company (if adopted) including any facsimile thereof;</w:t>
            </w:r>
          </w:p>
        </w:tc>
      </w:tr>
      <w:tr>
        <w:trPr>
          <w:trHeight w:val="373"/>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“SECURITIES ACT”</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the Securities Act of 1933 of the United States of America, as amended, or any similar federal statute and the</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rules and regulations of the Commission thereunder, all as the same shall be in effect at the time;</w:t>
            </w:r>
          </w:p>
        </w:tc>
      </w:tr>
      <w:tr>
        <w:trPr>
          <w:trHeight w:val="373"/>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“SECURITIES EXCHANGE</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the Securities Exchange Act of 1934 of the United States of America, as amended, or any similar federal</w:t>
            </w:r>
          </w:p>
        </w:tc>
      </w:tr>
      <w:tr>
        <w:trPr>
          <w:trHeight w:val="216"/>
        </w:trPr>
        <w:tc>
          <w:tcPr>
            <w:tcW w:w="3100" w:type="dxa"/>
            <w:vAlign w:val="bottom"/>
          </w:tcPr>
          <w:p>
            <w:pPr>
              <w:ind w:left="820"/>
              <w:spacing w:after="0"/>
              <w:rPr>
                <w:sz w:val="20"/>
                <w:szCs w:val="20"/>
                <w:color w:val="auto"/>
              </w:rPr>
            </w:pPr>
            <w:r>
              <w:rPr>
                <w:rFonts w:ascii="Times New Roman" w:cs="Times New Roman" w:eastAsia="Times New Roman" w:hAnsi="Times New Roman"/>
                <w:sz w:val="18"/>
                <w:szCs w:val="18"/>
                <w:color w:val="231F20"/>
              </w:rPr>
              <w:t>ACT”</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statute and the rules and regulations of the Commission thereunder, all as the same shall be in effect at the</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time;</w:t>
            </w:r>
          </w:p>
        </w:tc>
      </w:tr>
      <w:tr>
        <w:trPr>
          <w:trHeight w:val="392"/>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“SHARE”</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any share in the capital of the Company and includes a fraction of a share;</w:t>
            </w:r>
          </w:p>
        </w:tc>
      </w:tr>
      <w:tr>
        <w:trPr>
          <w:trHeight w:val="373"/>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“SIGNED”</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includes a signature or representation of a signature affixed by mechanical means or an electronic symbol or</w:t>
            </w:r>
          </w:p>
        </w:tc>
      </w:tr>
      <w:tr>
        <w:trPr>
          <w:trHeight w:val="216"/>
        </w:trPr>
        <w:tc>
          <w:tcPr>
            <w:tcW w:w="310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process attached to or logically associated with an electronic communication and executed or adopted by a</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person with the intent to sign the electronic communication;</w:t>
            </w:r>
          </w:p>
        </w:tc>
      </w:tr>
      <w:tr>
        <w:trPr>
          <w:trHeight w:val="373"/>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“SPECIAL RESOLUTION”</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w w:val="99"/>
              </w:rPr>
              <w:t>the meaning given to it in the Companies Act and for this purpose, the requisite majority shall be not less than</w:t>
            </w:r>
          </w:p>
        </w:tc>
      </w:tr>
      <w:tr>
        <w:trPr>
          <w:trHeight w:val="216"/>
        </w:trPr>
        <w:tc>
          <w:tcPr>
            <w:tcW w:w="310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three-fourths of the votes of such members as, being entitled to do so, vote in person or, where proxies are</w:t>
            </w:r>
          </w:p>
        </w:tc>
      </w:tr>
      <w:tr>
        <w:trPr>
          <w:trHeight w:val="216"/>
        </w:trPr>
        <w:tc>
          <w:tcPr>
            <w:tcW w:w="310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allowed, by proxy or, in the case of corporations, by their duly authorised representatives, at a general</w:t>
            </w:r>
          </w:p>
        </w:tc>
      </w:tr>
      <w:tr>
        <w:trPr>
          <w:trHeight w:val="216"/>
        </w:trPr>
        <w:tc>
          <w:tcPr>
            <w:tcW w:w="310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meeting of which notice specifying the intention to propose the resolution as a Special Resolution has been</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duly given and includes a unanimous written resolution;</w:t>
            </w:r>
          </w:p>
        </w:tc>
      </w:tr>
      <w:tr>
        <w:trPr>
          <w:trHeight w:val="373"/>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“STATUTES”</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the Companies Act and every other laws and regulations of the Cayman Islands for the time being in force</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concerning companies and affecting the Company;</w:t>
            </w:r>
          </w:p>
        </w:tc>
      </w:tr>
      <w:tr>
        <w:trPr>
          <w:trHeight w:val="373"/>
        </w:trPr>
        <w:tc>
          <w:tcPr>
            <w:tcW w:w="310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“SUBSIDIARIES”</w:t>
            </w: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with respect to any Person, any or all corporations, partnerships, limited liability companies, joint ventures,</w:t>
            </w:r>
          </w:p>
        </w:tc>
      </w:tr>
      <w:tr>
        <w:trPr>
          <w:trHeight w:val="216"/>
        </w:trPr>
        <w:tc>
          <w:tcPr>
            <w:tcW w:w="310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associations and other entities controlled by such person directly or indirectly through one or more</w:t>
            </w:r>
          </w:p>
        </w:tc>
      </w:tr>
      <w:tr>
        <w:trPr>
          <w:trHeight w:val="234"/>
        </w:trPr>
        <w:tc>
          <w:tcPr>
            <w:tcW w:w="3100" w:type="dxa"/>
            <w:vAlign w:val="bottom"/>
          </w:tcPr>
          <w:p>
            <w:pPr>
              <w:spacing w:after="0"/>
              <w:rPr>
                <w:sz w:val="20"/>
                <w:szCs w:val="20"/>
                <w:color w:val="auto"/>
              </w:rPr>
            </w:pPr>
          </w:p>
        </w:tc>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intermediaries;</w:t>
            </w:r>
          </w:p>
        </w:tc>
      </w:tr>
      <w:tr>
        <w:trPr>
          <w:trHeight w:val="675"/>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931" w:right="319" w:bottom="1440" w:gutter="0" w:footer="0" w:header="0"/>
        </w:sectPr>
      </w:pPr>
    </w:p>
    <w:bookmarkStart w:id="9" w:name="page10"/>
    <w:bookmarkEnd w:id="9"/>
    <w:p>
      <w:pPr>
        <w:ind w:left="660"/>
        <w:spacing w:after="0"/>
        <w:tabs>
          <w:tab w:leader="none" w:pos="3300" w:val="left"/>
        </w:tabs>
        <w:rPr>
          <w:sz w:val="20"/>
          <w:szCs w:val="20"/>
          <w:color w:val="auto"/>
        </w:rPr>
      </w:pPr>
      <w:r>
        <w:rPr>
          <w:rFonts w:ascii="Times New Roman" w:cs="Times New Roman" w:eastAsia="Times New Roman" w:hAnsi="Times New Roman"/>
          <w:sz w:val="18"/>
          <w:szCs w:val="18"/>
          <w:color w:val="231F20"/>
        </w:rPr>
        <w:t>“TREASURY SHARE”</w:t>
      </w:r>
      <w:r>
        <w:rPr>
          <w:sz w:val="20"/>
          <w:szCs w:val="20"/>
          <w:color w:val="auto"/>
        </w:rPr>
        <w:tab/>
      </w:r>
      <w:r>
        <w:rPr>
          <w:rFonts w:ascii="Times New Roman" w:cs="Times New Roman" w:eastAsia="Times New Roman" w:hAnsi="Times New Roman"/>
          <w:sz w:val="18"/>
          <w:szCs w:val="18"/>
          <w:color w:val="231F20"/>
        </w:rPr>
        <w:t>a share held in the name of the Company as a treasury share in accordance with the Companies Act;</w:t>
      </w:r>
    </w:p>
    <w:p>
      <w:pPr>
        <w:spacing w:after="0" w:line="185" w:lineRule="exact"/>
        <w:rPr>
          <w:sz w:val="20"/>
          <w:szCs w:val="20"/>
          <w:color w:val="auto"/>
        </w:rPr>
      </w:pPr>
    </w:p>
    <w:p>
      <w:pPr>
        <w:ind w:left="660"/>
        <w:spacing w:after="0"/>
        <w:tabs>
          <w:tab w:leader="none" w:pos="3300" w:val="left"/>
        </w:tabs>
        <w:rPr>
          <w:sz w:val="20"/>
          <w:szCs w:val="20"/>
          <w:color w:val="auto"/>
        </w:rPr>
      </w:pPr>
      <w:r>
        <w:rPr>
          <w:rFonts w:ascii="Times New Roman" w:cs="Times New Roman" w:eastAsia="Times New Roman" w:hAnsi="Times New Roman"/>
          <w:sz w:val="18"/>
          <w:szCs w:val="18"/>
          <w:color w:val="231F20"/>
        </w:rPr>
        <w:t>“VIRTUAL MEETING”</w:t>
      </w:r>
      <w:r>
        <w:rPr>
          <w:sz w:val="20"/>
          <w:szCs w:val="20"/>
          <w:color w:val="auto"/>
        </w:rPr>
        <w:tab/>
      </w:r>
      <w:r>
        <w:rPr>
          <w:rFonts w:ascii="Times New Roman" w:cs="Times New Roman" w:eastAsia="Times New Roman" w:hAnsi="Times New Roman"/>
          <w:sz w:val="18"/>
          <w:szCs w:val="18"/>
          <w:color w:val="231F20"/>
        </w:rPr>
        <w:t>any general meeting of Members at which the Members and any other permitted participants of such meeting</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231F20"/>
        </w:rPr>
        <w:t>(including, without limitation, the chairman of such meeting and any Directors) are permitted to attend and</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231F20"/>
        </w:rPr>
        <w:t>participate solely by means of Communication Facilities; and</w:t>
      </w:r>
    </w:p>
    <w:p>
      <w:pPr>
        <w:spacing w:after="0" w:line="166" w:lineRule="exact"/>
        <w:rPr>
          <w:sz w:val="20"/>
          <w:szCs w:val="20"/>
          <w:color w:val="auto"/>
        </w:rPr>
      </w:pPr>
    </w:p>
    <w:p>
      <w:pPr>
        <w:ind w:left="660"/>
        <w:spacing w:after="0"/>
        <w:tabs>
          <w:tab w:leader="none" w:pos="3300" w:val="left"/>
        </w:tabs>
        <w:rPr>
          <w:sz w:val="20"/>
          <w:szCs w:val="20"/>
          <w:color w:val="auto"/>
        </w:rPr>
      </w:pPr>
      <w:r>
        <w:rPr>
          <w:rFonts w:ascii="Times New Roman" w:cs="Times New Roman" w:eastAsia="Times New Roman" w:hAnsi="Times New Roman"/>
          <w:sz w:val="18"/>
          <w:szCs w:val="18"/>
          <w:color w:val="231F20"/>
        </w:rPr>
        <w:t>“YEAR”</w:t>
      </w:r>
      <w:r>
        <w:rPr>
          <w:sz w:val="20"/>
          <w:szCs w:val="20"/>
          <w:color w:val="auto"/>
        </w:rPr>
        <w:tab/>
      </w:r>
      <w:r>
        <w:rPr>
          <w:rFonts w:ascii="Times New Roman" w:cs="Times New Roman" w:eastAsia="Times New Roman" w:hAnsi="Times New Roman"/>
          <w:sz w:val="18"/>
          <w:szCs w:val="18"/>
          <w:color w:val="231F20"/>
        </w:rPr>
        <w:t>calendar year.</w:t>
      </w:r>
    </w:p>
    <w:p>
      <w:pPr>
        <w:sectPr>
          <w:pgSz w:w="11900" w:h="16838" w:orient="portrait"/>
          <w:cols w:equalWidth="0" w:num="1">
            <w:col w:w="11260"/>
          </w:cols>
          <w:pgMar w:left="320" w:top="931" w:right="319" w:bottom="1440" w:gutter="0" w:footer="0" w:header="0"/>
        </w:sectPr>
      </w:pPr>
    </w:p>
    <w:p>
      <w:pPr>
        <w:spacing w:after="0" w:line="225"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these Articles, save where the context requires otherwise:</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words importing the masculine gender only shall include the feminine gender;</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words importing persons only shall include companies or associations or bodies of persons, whether corporate or not;</w:t>
      </w:r>
    </w:p>
    <w:p>
      <w:pPr>
        <w:spacing w:after="0" w:line="22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“written” and “in writing” include all modes of representing or reproducing words in visible form, including in the form of an Electronic Record;</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231F20"/>
        </w:rPr>
      </w:pPr>
    </w:p>
    <w:p>
      <w:pPr>
        <w:ind w:left="1140" w:hanging="484"/>
        <w:spacing w:after="0"/>
        <w:tabs>
          <w:tab w:leader="none" w:pos="114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shall be construed as permissive and “SHALL” shall be construed as imperative;</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reference to a dollar or dollars (or $) is a reference to dollars of the United States;</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references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2"/>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phrase introduced by the terms “including”, “include”, “in particular” or any similar expression shall be construed as illustrative and shall not limit the sense of the words preceding those terms; and</w:t>
      </w:r>
    </w:p>
    <w:p>
      <w:pPr>
        <w:spacing w:after="0" w:line="161" w:lineRule="exact"/>
        <w:rPr>
          <w:rFonts w:ascii="Times New Roman" w:cs="Times New Roman" w:eastAsia="Times New Roman" w:hAnsi="Times New Roman"/>
          <w:sz w:val="18"/>
          <w:szCs w:val="18"/>
          <w:color w:val="231F20"/>
        </w:rPr>
      </w:pPr>
    </w:p>
    <w:p>
      <w:pPr>
        <w:ind w:left="1140" w:hanging="498"/>
        <w:spacing w:after="0"/>
        <w:tabs>
          <w:tab w:leader="none" w:pos="1140" w:val="left"/>
        </w:tabs>
        <w:numPr>
          <w:ilvl w:val="1"/>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Sections 8 and 19(3) of the Electronic Transactions Act (As Revised) shall not apply.</w:t>
      </w:r>
    </w:p>
    <w:p>
      <w:pPr>
        <w:spacing w:after="0" w:line="225"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last two preceding Articles, any words defined in the Companies Act shall, if not inconsistent with the subject or context, bear the same meaning in these Articles.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231F20"/>
        </w:rPr>
        <w:t>PRELIMINARY</w:t>
      </w:r>
    </w:p>
    <w:p>
      <w:pPr>
        <w:spacing w:after="0" w:line="229"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business of the Company may be conducted as the Directors see fit.</w:t>
      </w:r>
    </w:p>
    <w:p>
      <w:pPr>
        <w:spacing w:after="0" w:line="225"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ISSUE OF SHARES</w:t>
      </w:r>
    </w:p>
    <w:p>
      <w:pPr>
        <w:spacing w:after="0" w:line="229" w:lineRule="exact"/>
        <w:rPr>
          <w:sz w:val="20"/>
          <w:szCs w:val="20"/>
          <w:color w:val="auto"/>
        </w:rPr>
      </w:pPr>
    </w:p>
    <w:p>
      <w:pPr>
        <w:jc w:val="both"/>
        <w:ind w:left="640" w:hanging="632"/>
        <w:spacing w:after="0" w:line="255" w:lineRule="auto"/>
        <w:tabs>
          <w:tab w:leader="none" w:pos="6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requirements under the Hong Kong Listing Rules and the provisions, if any, in the Memorandum of Association, these Articles and to any direction that may be given by the Company in a general meeting, the Directors may, in their absolute discretion and without approval of the existing Members, issue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Shares held by existing Members, at such times and on such other terms as they think proper. The Company may hold Treasury Shares. The Company shall not issue Shares in bearer form.</w:t>
      </w:r>
    </w:p>
    <w:p>
      <w:pPr>
        <w:spacing w:after="0" w:line="189" w:lineRule="exact"/>
        <w:rPr>
          <w:sz w:val="20"/>
          <w:szCs w:val="20"/>
          <w:color w:val="auto"/>
        </w:rPr>
      </w:pPr>
    </w:p>
    <w:p>
      <w:pPr>
        <w:jc w:val="both"/>
        <w:ind w:left="640" w:hanging="639"/>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231F20"/>
        </w:rPr>
        <w:t>6A.</w:t>
      </w:r>
      <w:r>
        <w:rPr>
          <w:sz w:val="20"/>
          <w:szCs w:val="20"/>
          <w:color w:val="auto"/>
        </w:rPr>
        <w:tab/>
      </w:r>
      <w:r>
        <w:rPr>
          <w:rFonts w:ascii="Times New Roman" w:cs="Times New Roman" w:eastAsia="Times New Roman" w:hAnsi="Times New Roman"/>
          <w:sz w:val="18"/>
          <w:szCs w:val="18"/>
          <w:color w:val="231F20"/>
        </w:rPr>
        <w:t>Subject to the Statutes, these Articles, the Hong Kong Listing Rules, and without prejudice to any special rights or restrictions for the time being attached to any shares or any class of shares, the Directors may provide, out of the unissued Shares, for series of preferred shares. Before any preferred shares of any such series are issued, the Directors shall fix, by resolution or resolutions, the following provisions of the preferred shares thereof:</w:t>
      </w:r>
    </w:p>
    <w:p>
      <w:pPr>
        <w:spacing w:after="0" w:line="180" w:lineRule="exact"/>
        <w:rPr>
          <w:sz w:val="20"/>
          <w:szCs w:val="20"/>
          <w:color w:val="auto"/>
        </w:rPr>
      </w:pPr>
    </w:p>
    <w:p>
      <w:pPr>
        <w:ind w:left="1160" w:hanging="504"/>
        <w:spacing w:after="0" w:line="282" w:lineRule="auto"/>
        <w:tabs>
          <w:tab w:leader="none" w:pos="11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preferred shares;</w:t>
      </w:r>
    </w:p>
    <w:p>
      <w:pPr>
        <w:spacing w:after="0" w:line="17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or amounts payable upon preferred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1160" w:hanging="504"/>
        <w:spacing w:after="0" w:line="266" w:lineRule="auto"/>
        <w:tabs>
          <w:tab w:leader="none" w:pos="11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231F20"/>
        </w:rPr>
        <w:t>Without limiting the foregoing and subject to Article 77, the voting powers of any series of preferred shares may include the right, in the circumstances specified in the resolution or resolutions providing for the issuance of such preferred shares, to elect one or more Directors who shall serve for such term and have such voting powers as shall be stated in the resolution or resolutions providing for the issuance of such preferred shares. The term of office and voting powers of any Director elected in the manner provided in the immediately preceding sentence of this Article 6A may be greater than or less than those of any other Director or class of Directors.</w:t>
      </w:r>
    </w:p>
    <w:p>
      <w:pPr>
        <w:spacing w:after="0" w:line="183"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231F20"/>
        </w:rPr>
        <w:t>6B.</w:t>
      </w:r>
      <w:r>
        <w:rPr>
          <w:sz w:val="20"/>
          <w:szCs w:val="20"/>
          <w:color w:val="auto"/>
        </w:rPr>
        <w:tab/>
      </w:r>
      <w:r>
        <w:rPr>
          <w:rFonts w:ascii="Times New Roman" w:cs="Times New Roman" w:eastAsia="Times New Roman" w:hAnsi="Times New Roman"/>
          <w:sz w:val="18"/>
          <w:szCs w:val="18"/>
          <w:color w:val="231F20"/>
        </w:rPr>
        <w:t>To the extent permitted by the Statutes, these Articles, and the Hong Kong Listing Rules, the powers, preferences and relative, participating, optional and other special rights of each series of preferred shares, and the qualifications, limitations or restrictions thereof, if any, may differ from those of any and all other series at any time issued and outstanding. All shares of any one series of preferred shares shall be identical in all respects with all other shares of such series, except that shares of any one series issued at different times may differ as to the dates from which dividends thereon shall be cumulative.</w:t>
      </w:r>
    </w:p>
    <w:p>
      <w:pPr>
        <w:spacing w:after="0" w:line="183"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[intentionally left blank]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REGISTER OF MEMBERS AND SHARE CERTIFICATES</w:t>
      </w:r>
    </w:p>
    <w:p>
      <w:pPr>
        <w:spacing w:after="0" w:line="229"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231F20"/>
        </w:rPr>
        <w:t>8A.</w:t>
      </w:r>
      <w:r>
        <w:rPr>
          <w:sz w:val="20"/>
          <w:szCs w:val="20"/>
          <w:color w:val="auto"/>
        </w:rPr>
        <w:tab/>
      </w:r>
      <w:r>
        <w:rPr>
          <w:rFonts w:ascii="Times New Roman" w:cs="Times New Roman" w:eastAsia="Times New Roman" w:hAnsi="Times New Roman"/>
          <w:sz w:val="18"/>
          <w:szCs w:val="18"/>
          <w:color w:val="231F20"/>
        </w:rPr>
        <w:t>The Company shall maintain a Register of its Members and a Member shall only be entitled to a share certificate if the Directors resolve that share certificates shall be issued. Share certificates (if any) shall specify the share or shares held by that person and the amount paid up thereon, provided that in respect of a share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640" w:hanging="639"/>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231F20"/>
        </w:rPr>
        <w:t>8B.</w:t>
      </w:r>
      <w:r>
        <w:rPr>
          <w:sz w:val="20"/>
          <w:szCs w:val="20"/>
          <w:color w:val="auto"/>
        </w:rPr>
        <w:tab/>
      </w:r>
      <w:r>
        <w:rPr>
          <w:rFonts w:ascii="Times New Roman" w:cs="Times New Roman" w:eastAsia="Times New Roman" w:hAnsi="Times New Roman"/>
          <w:sz w:val="18"/>
          <w:szCs w:val="18"/>
          <w:color w:val="231F20"/>
        </w:rPr>
        <w:t>Except when the Register of Members is closed and, if applicable, subject to the additional provisions of Article 49, the Register of Members (including any principal register and any branch register) shall during business hours be kept open for inspection by any Member without charge. The reference to business hours in this Article is subject to such reasonable restrictions as the Company in general meeting may impose, but so that not less than two hours in each Business Day is to be allowed for inspections.</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231F20"/>
        </w:rPr>
        <w:t>9A.</w:t>
      </w:r>
      <w:r>
        <w:rPr>
          <w:sz w:val="20"/>
          <w:szCs w:val="20"/>
          <w:color w:val="auto"/>
        </w:rPr>
        <w:tab/>
      </w:r>
      <w:r>
        <w:rPr>
          <w:rFonts w:ascii="Times New Roman" w:cs="Times New Roman" w:eastAsia="Times New Roman" w:hAnsi="Times New Roman"/>
          <w:sz w:val="18"/>
          <w:szCs w:val="18"/>
          <w:color w:val="231F20"/>
        </w:rPr>
        <w:t>All share certificates shall bear legends required under the applicable laws, including the Securities Act.</w:t>
      </w:r>
    </w:p>
    <w:p>
      <w:pPr>
        <w:spacing w:after="0" w:line="225" w:lineRule="exact"/>
        <w:rPr>
          <w:sz w:val="20"/>
          <w:szCs w:val="20"/>
          <w:color w:val="auto"/>
        </w:rPr>
      </w:pPr>
    </w:p>
    <w:p>
      <w:pPr>
        <w:jc w:val="both"/>
        <w:ind w:left="640" w:hanging="639"/>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231F20"/>
        </w:rPr>
        <w:t>9B.</w:t>
      </w:r>
      <w:r>
        <w:rPr>
          <w:sz w:val="20"/>
          <w:szCs w:val="20"/>
          <w:color w:val="auto"/>
        </w:rPr>
        <w:tab/>
      </w:r>
      <w:r>
        <w:rPr>
          <w:rFonts w:ascii="Times New Roman" w:cs="Times New Roman" w:eastAsia="Times New Roman" w:hAnsi="Times New Roman"/>
          <w:sz w:val="18"/>
          <w:szCs w:val="18"/>
          <w:color w:val="231F20"/>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176" w:lineRule="exact"/>
        <w:rPr>
          <w:sz w:val="20"/>
          <w:szCs w:val="20"/>
          <w:color w:val="auto"/>
        </w:rPr>
      </w:pPr>
    </w:p>
    <w:p>
      <w:pPr>
        <w:jc w:val="both"/>
        <w:ind w:left="640" w:hanging="632"/>
        <w:spacing w:after="0" w:line="261" w:lineRule="auto"/>
        <w:tabs>
          <w:tab w:leader="none" w:pos="6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TRANSFER OF SHARES</w:t>
      </w:r>
    </w:p>
    <w:p>
      <w:pPr>
        <w:spacing w:after="0" w:line="229" w:lineRule="exact"/>
        <w:rPr>
          <w:sz w:val="20"/>
          <w:szCs w:val="20"/>
          <w:color w:val="auto"/>
        </w:rPr>
      </w:pPr>
    </w:p>
    <w:p>
      <w:pPr>
        <w:ind w:left="1160" w:right="20" w:hanging="1152"/>
        <w:spacing w:after="0" w:line="282" w:lineRule="auto"/>
        <w:tabs>
          <w:tab w:leader="none" w:pos="661"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Shares of the Company are transferable; provided that the Board may, in its sole discretion, decline to register any transfer of any share which is not fully paid up or on which the Company has a lien.</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also decline to register any transfer of any share unless:</w:t>
      </w:r>
    </w:p>
    <w:p>
      <w:pPr>
        <w:spacing w:after="0" w:line="225" w:lineRule="exact"/>
        <w:rPr>
          <w:rFonts w:ascii="Times New Roman" w:cs="Times New Roman" w:eastAsia="Times New Roman" w:hAnsi="Times New Roman"/>
          <w:sz w:val="18"/>
          <w:szCs w:val="18"/>
          <w:color w:val="231F20"/>
        </w:rPr>
      </w:pPr>
    </w:p>
    <w:p>
      <w:pPr>
        <w:ind w:left="1500" w:hanging="345"/>
        <w:spacing w:after="0" w:line="282" w:lineRule="auto"/>
        <w:tabs>
          <w:tab w:leader="none" w:pos="1500" w:val="left"/>
        </w:tabs>
        <w:numPr>
          <w:ilvl w:val="2"/>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231F20"/>
        </w:rPr>
      </w:pPr>
    </w:p>
    <w:p>
      <w:pPr>
        <w:ind w:left="1500" w:hanging="345"/>
        <w:spacing w:after="0"/>
        <w:tabs>
          <w:tab w:leader="none" w:pos="1500" w:val="left"/>
        </w:tabs>
        <w:numPr>
          <w:ilvl w:val="2"/>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of transfer is in respect of only one class of shares;</w:t>
      </w:r>
    </w:p>
    <w:p>
      <w:pPr>
        <w:spacing w:after="0" w:line="225" w:lineRule="exact"/>
        <w:rPr>
          <w:rFonts w:ascii="Times New Roman" w:cs="Times New Roman" w:eastAsia="Times New Roman" w:hAnsi="Times New Roman"/>
          <w:sz w:val="18"/>
          <w:szCs w:val="18"/>
          <w:color w:val="231F20"/>
        </w:rPr>
      </w:pPr>
    </w:p>
    <w:p>
      <w:pPr>
        <w:ind w:left="1500" w:hanging="345"/>
        <w:spacing w:after="0"/>
        <w:tabs>
          <w:tab w:leader="none" w:pos="1500" w:val="left"/>
        </w:tabs>
        <w:numPr>
          <w:ilvl w:val="2"/>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of transfer is properly stamped, if required;</w:t>
      </w:r>
    </w:p>
    <w:p>
      <w:pPr>
        <w:spacing w:after="0" w:line="225" w:lineRule="exact"/>
        <w:rPr>
          <w:rFonts w:ascii="Times New Roman" w:cs="Times New Roman" w:eastAsia="Times New Roman" w:hAnsi="Times New Roman"/>
          <w:sz w:val="18"/>
          <w:szCs w:val="18"/>
          <w:color w:val="231F20"/>
        </w:rPr>
      </w:pPr>
    </w:p>
    <w:p>
      <w:pPr>
        <w:ind w:left="1500" w:hanging="345"/>
        <w:spacing w:after="0"/>
        <w:tabs>
          <w:tab w:leader="none" w:pos="1500" w:val="left"/>
        </w:tabs>
        <w:numPr>
          <w:ilvl w:val="2"/>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231F20"/>
        </w:rPr>
      </w:pPr>
    </w:p>
    <w:p>
      <w:pPr>
        <w:ind w:left="1500" w:hanging="345"/>
        <w:spacing w:after="0"/>
        <w:tabs>
          <w:tab w:leader="none" w:pos="1500" w:val="left"/>
        </w:tabs>
        <w:numPr>
          <w:ilvl w:val="2"/>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shares conceded are free of any lien in favor of the Company; and</w:t>
      </w:r>
    </w:p>
    <w:p>
      <w:pPr>
        <w:spacing w:after="0" w:line="225" w:lineRule="exact"/>
        <w:rPr>
          <w:rFonts w:ascii="Times New Roman" w:cs="Times New Roman" w:eastAsia="Times New Roman" w:hAnsi="Times New Roman"/>
          <w:sz w:val="18"/>
          <w:szCs w:val="18"/>
          <w:color w:val="231F20"/>
        </w:rPr>
      </w:pPr>
    </w:p>
    <w:p>
      <w:pPr>
        <w:ind w:left="1500" w:hanging="345"/>
        <w:spacing w:after="0" w:line="282" w:lineRule="auto"/>
        <w:tabs>
          <w:tab w:leader="none" w:pos="1500" w:val="left"/>
        </w:tabs>
        <w:numPr>
          <w:ilvl w:val="2"/>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fee of such maximum sum as the New York Stock Exchange may determine to be payable, or such lesser sum as the Board may from time to time require, is paid to the Company in respect thereof.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160" w:hanging="504"/>
        <w:spacing w:after="0" w:line="282" w:lineRule="auto"/>
        <w:tabs>
          <w:tab w:leader="none" w:pos="1160" w:val="left"/>
        </w:tabs>
        <w:numPr>
          <w:ilvl w:val="1"/>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Directors refuse to register a transfer they shall, within two months after the date on which the instrument of transfer was lodged, send to each of the transferor and the transferee notice of such refusal.</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one of the Directors authorized by the Board shall have the power to renounce the Company’s discretion under this Article 12 and accept the transfers of shares.</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registration of transfers may, on 14 days’ notice being given by advertisement in such one or more newspapers or by electronic means, be suspended and the register closed at such times and for such periods as the Board may from time to time determine.</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5" w:lineRule="auto"/>
        <w:tabs>
          <w:tab w:leader="none" w:pos="64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Transfers of shares may be effected by an instrument of transfer in the usual common form, including without limitation the standard form of transfer as prescribed by The Stock Exchange of Hong Kong Limited, or in such other form as the Board may approve. The instrument of transfer of any share shall be in writing and executed by or on behalf of the transferor (and if the Directors so require, signed by the transferee) with a manual signature or a facsimile signature (which may be machine printed or otherwise). Without prejudice to the last preceding sentence, the Board may also resolve, either generally or in any particular case, upon request by either the transferor or transferee, to accept mechanically executed transfers. The transferor shall be deemed to remain a holder of the share until the name of the transferee is entered in the Register of Members.</w:t>
      </w:r>
    </w:p>
    <w:p>
      <w:pPr>
        <w:spacing w:after="0" w:line="188"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instruments of transfer registered shall be retained by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REDEMPTION AND PURCHASE OF OWN SHARES</w:t>
      </w:r>
    </w:p>
    <w:p>
      <w:pPr>
        <w:spacing w:after="0" w:line="229"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provisions of the Statutes and these Articles, the Company may:</w:t>
      </w:r>
    </w:p>
    <w:p>
      <w:pPr>
        <w:spacing w:after="0" w:line="22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 shares on terms that they are to be redeemed or are liable to be redeemed at the option of the Company or the Member and the redemption of shares shall be effected on such terms and in such manner as the Board may, before the issue of such shares, determine;</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purchase its own shares (including any redeemable shares) provided that the Members shall have approved the manner of purchase by Ordinary Resolution or the manner of purchase is in accordance with the Articles 17 and 17A (this authorisation is in accordance with section 37(2) of the Statutes or any modification or re-enactment thereof for the time being in force); and</w:t>
      </w:r>
    </w:p>
    <w:p>
      <w:pPr>
        <w:spacing w:after="0" w:line="17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make a payment in respect of the redemption or purchase of its own shares in any manner permitted by the Statutes, including out of capital.</w:t>
      </w:r>
    </w:p>
    <w:p>
      <w:pPr>
        <w:spacing w:after="0" w:line="161"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Purchase of shares underlying American depositary shares listed on the New York Stock Exchange: the Company is authorised to purchase any share underlying American depositary shares listed on the New York Stock Exchange in accordance with the following manner of purchase:</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maximum number of shares that may be repurchased shall be equal to the number of issued and outstanding shares less one Share;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152" w:hanging="504"/>
        <w:spacing w:after="0" w:line="282" w:lineRule="auto"/>
        <w:tabs>
          <w:tab w:leader="none" w:pos="1152"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repurchase shall be at such time, at such price and on such other terms as determined and agreed by the Board in their sole discretion; provided, however, that:</w:t>
      </w:r>
    </w:p>
    <w:p>
      <w:pPr>
        <w:spacing w:after="0" w:line="161" w:lineRule="exact"/>
        <w:rPr>
          <w:rFonts w:ascii="Times New Roman" w:cs="Times New Roman" w:eastAsia="Times New Roman" w:hAnsi="Times New Roman"/>
          <w:sz w:val="18"/>
          <w:szCs w:val="18"/>
          <w:color w:val="231F20"/>
        </w:rPr>
      </w:pPr>
    </w:p>
    <w:p>
      <w:pPr>
        <w:ind w:left="1492" w:hanging="345"/>
        <w:spacing w:after="0" w:line="282" w:lineRule="auto"/>
        <w:tabs>
          <w:tab w:leader="none" w:pos="1492"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repurchase transactions shall be in accordance with the relevant code, rules and regulations applicable to the listing and/or trading of the American depositary shares on the New York Stock Exchange; and</w:t>
      </w:r>
    </w:p>
    <w:p>
      <w:pPr>
        <w:spacing w:after="0" w:line="161" w:lineRule="exact"/>
        <w:rPr>
          <w:rFonts w:ascii="Times New Roman" w:cs="Times New Roman" w:eastAsia="Times New Roman" w:hAnsi="Times New Roman"/>
          <w:sz w:val="18"/>
          <w:szCs w:val="18"/>
          <w:color w:val="231F20"/>
        </w:rPr>
      </w:pPr>
    </w:p>
    <w:p>
      <w:pPr>
        <w:ind w:left="1492" w:hanging="345"/>
        <w:spacing w:after="0"/>
        <w:tabs>
          <w:tab w:leader="none" w:pos="1492" w:val="left"/>
        </w:tabs>
        <w:numPr>
          <w:ilvl w:val="1"/>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the time of the repurchase, the Company is able to pay its debts as they fall due in the ordinary course of its business.</w:t>
      </w:r>
    </w:p>
    <w:p>
      <w:pPr>
        <w:spacing w:after="0" w:line="225" w:lineRule="exact"/>
        <w:rPr>
          <w:sz w:val="20"/>
          <w:szCs w:val="20"/>
          <w:color w:val="auto"/>
        </w:rPr>
      </w:pPr>
    </w:p>
    <w:p>
      <w:pPr>
        <w:ind w:left="632" w:hanging="639"/>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231F20"/>
        </w:rPr>
        <w:t>17A.</w:t>
        <w:tab/>
        <w:t>Purchase of shares not listed on the New York Stock Exchange: the Company is authorised to purchase any shares not listed on the New York Stock Exchange in accordance with the following manner of purchase:</w:t>
      </w:r>
    </w:p>
    <w:p>
      <w:pPr>
        <w:spacing w:after="0" w:line="162" w:lineRule="exact"/>
        <w:rPr>
          <w:sz w:val="20"/>
          <w:szCs w:val="20"/>
          <w:color w:val="auto"/>
        </w:rPr>
      </w:pPr>
    </w:p>
    <w:p>
      <w:pPr>
        <w:ind w:left="1152" w:hanging="504"/>
        <w:spacing w:after="0" w:line="282" w:lineRule="auto"/>
        <w:tabs>
          <w:tab w:leader="none" w:pos="1152" w:val="left"/>
        </w:tabs>
        <w:numPr>
          <w:ilvl w:val="1"/>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serve a repurchase notice in a form approved by the Board on the Member from whom the shares are to be repurchased at least two Business Days prior to the date specified in the notice as being the repurchase date;</w:t>
      </w:r>
    </w:p>
    <w:p>
      <w:pPr>
        <w:spacing w:after="0" w:line="161" w:lineRule="exact"/>
        <w:rPr>
          <w:rFonts w:ascii="Times New Roman" w:cs="Times New Roman" w:eastAsia="Times New Roman" w:hAnsi="Times New Roman"/>
          <w:sz w:val="18"/>
          <w:szCs w:val="18"/>
          <w:color w:val="231F20"/>
        </w:rPr>
      </w:pPr>
    </w:p>
    <w:p>
      <w:pPr>
        <w:ind w:left="1152" w:hanging="504"/>
        <w:spacing w:after="0"/>
        <w:tabs>
          <w:tab w:leader="none" w:pos="1152" w:val="left"/>
        </w:tabs>
        <w:numPr>
          <w:ilvl w:val="1"/>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 for the shares being repurchased shall be such price agreed between the Board and the applicable Member;</w:t>
      </w:r>
    </w:p>
    <w:p>
      <w:pPr>
        <w:spacing w:after="0" w:line="225" w:lineRule="exact"/>
        <w:rPr>
          <w:rFonts w:ascii="Times New Roman" w:cs="Times New Roman" w:eastAsia="Times New Roman" w:hAnsi="Times New Roman"/>
          <w:sz w:val="18"/>
          <w:szCs w:val="18"/>
          <w:color w:val="231F20"/>
        </w:rPr>
      </w:pPr>
    </w:p>
    <w:p>
      <w:pPr>
        <w:ind w:left="1152" w:hanging="504"/>
        <w:spacing w:after="0"/>
        <w:tabs>
          <w:tab w:leader="none" w:pos="1152" w:val="left"/>
        </w:tabs>
        <w:numPr>
          <w:ilvl w:val="1"/>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date of repurchase shall be the date specified in the repurchase notice; and</w:t>
      </w:r>
    </w:p>
    <w:p>
      <w:pPr>
        <w:spacing w:after="0" w:line="225" w:lineRule="exact"/>
        <w:rPr>
          <w:rFonts w:ascii="Times New Roman" w:cs="Times New Roman" w:eastAsia="Times New Roman" w:hAnsi="Times New Roman"/>
          <w:sz w:val="18"/>
          <w:szCs w:val="18"/>
          <w:color w:val="231F20"/>
        </w:rPr>
      </w:pPr>
    </w:p>
    <w:p>
      <w:pPr>
        <w:ind w:left="1152" w:hanging="504"/>
        <w:spacing w:after="0" w:line="282" w:lineRule="auto"/>
        <w:tabs>
          <w:tab w:leader="none" w:pos="1152" w:val="left"/>
        </w:tabs>
        <w:numPr>
          <w:ilvl w:val="1"/>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repurchase shall be on such other terms as specified in the repurchase notice as determined and agreed by the Board and the applicable Member in their sole discretion.</w:t>
      </w:r>
    </w:p>
    <w:p>
      <w:pPr>
        <w:spacing w:after="0" w:line="161" w:lineRule="exact"/>
        <w:rPr>
          <w:rFonts w:ascii="Times New Roman" w:cs="Times New Roman" w:eastAsia="Times New Roman" w:hAnsi="Times New Roman"/>
          <w:sz w:val="18"/>
          <w:szCs w:val="18"/>
          <w:color w:val="231F20"/>
        </w:rPr>
      </w:pPr>
    </w:p>
    <w:p>
      <w:pPr>
        <w:jc w:val="both"/>
        <w:ind w:left="632" w:hanging="632"/>
        <w:spacing w:after="0" w:line="266" w:lineRule="auto"/>
        <w:tabs>
          <w:tab w:leader="none" w:pos="632"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redemption or purchase of any share shall not be deemed to give rise to the redemption or purchase of any other share and the Company is not obligated to purchase any other share other than as may be required pursuant to applicable law and any other contractual obligations of the Company.</w:t>
      </w:r>
    </w:p>
    <w:p>
      <w:pPr>
        <w:spacing w:after="0" w:line="176" w:lineRule="exact"/>
        <w:rPr>
          <w:sz w:val="20"/>
          <w:szCs w:val="20"/>
          <w:color w:val="auto"/>
        </w:rPr>
      </w:pPr>
    </w:p>
    <w:p>
      <w:pPr>
        <w:jc w:val="both"/>
        <w:ind w:left="632" w:hanging="639"/>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231F20"/>
        </w:rPr>
        <w:t>19A.</w:t>
        <w:tab/>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2" w:lineRule="exact"/>
        <w:rPr>
          <w:sz w:val="20"/>
          <w:szCs w:val="20"/>
          <w:color w:val="auto"/>
        </w:rPr>
      </w:pPr>
    </w:p>
    <w:p>
      <w:pPr>
        <w:jc w:val="both"/>
        <w:ind w:left="632" w:hanging="639"/>
        <w:spacing w:after="0" w:line="266" w:lineRule="auto"/>
        <w:tabs>
          <w:tab w:leader="none" w:pos="612" w:val="left"/>
        </w:tabs>
        <w:rPr>
          <w:sz w:val="20"/>
          <w:szCs w:val="20"/>
          <w:color w:val="auto"/>
        </w:rPr>
      </w:pPr>
      <w:r>
        <w:rPr>
          <w:rFonts w:ascii="Times New Roman" w:cs="Times New Roman" w:eastAsia="Times New Roman" w:hAnsi="Times New Roman"/>
          <w:sz w:val="18"/>
          <w:szCs w:val="18"/>
          <w:color w:val="231F20"/>
        </w:rPr>
        <w:t>19B.</w:t>
        <w:tab/>
        <w:t>The Directors may, prior to the purchase, redemption or surrender of any share, determine that such share shall be held as a Treasury share. The Directors may determine to cancel a Treasury share or transfer a Treasury share on such terms as they think proper (including, without limitation, for nil consideration).</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231F20"/>
        </w:rPr>
        <w:t>VARIATION OF RIGHTS ATTACHING TO SHARES</w:t>
      </w:r>
    </w:p>
    <w:p>
      <w:pPr>
        <w:spacing w:after="0" w:line="229" w:lineRule="exact"/>
        <w:rPr>
          <w:sz w:val="20"/>
          <w:szCs w:val="20"/>
          <w:color w:val="auto"/>
        </w:rPr>
      </w:pPr>
    </w:p>
    <w:p>
      <w:pPr>
        <w:jc w:val="both"/>
        <w:ind w:left="632" w:hanging="632"/>
        <w:spacing w:after="0" w:line="258" w:lineRule="auto"/>
        <w:tabs>
          <w:tab w:leader="none" w:pos="632"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at any time the share capital is divided into different classes or series of shares, the rights attaching to any class or series (unless otherwise provided by the terms of issue of the shares of that class or series) may, subject to these Articles, be varied or abrogated with the consent in writing of the holders of not less than three-fourths in the nominal value of the issued Shares of that class or series or with the sanction passed at a general meeting of the holders of the shares of that class or series by Members holding Shares representing three-fourths in nominal value of the issued Shares of that Class present in person or by proxy and voting at such meeting.</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5" w:name="page16"/>
    <w:bookmarkEnd w:id="15"/>
    <w:p>
      <w:pPr>
        <w:ind w:left="640" w:right="20" w:hanging="632"/>
        <w:spacing w:after="0" w:line="282" w:lineRule="auto"/>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provisions of these Articles relating to general meetings shall apply to every such general meeting of the holders of one class or series of shares except the following:</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separate general meetings of the holders of a class or series of shares may be called only by (i) the Chairman of the Board, or (ii) a majority of the entire Board of Directors (unless otherwise specifically provided by the terms of issue of the shares of such class or series). Nothing in this Article 21 or Article 20 shall be deemed to give any Member or Members the right to call a class or series meeting.</w:t>
      </w:r>
    </w:p>
    <w:p>
      <w:pPr>
        <w:spacing w:after="0" w:line="17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necessary quorum shall be one or more persons holding or representing by proxy at least one-third of the issued shares of the class or series and that any holder of shares of the class or series Present may demand a poll.</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rights conferred upon the holders of the shares of any class or series issued with preferred or other rights shall not, unless otherwise expressly provided by the terms of issue of the shares of that class or series, be deemed to be varied by the creation or issue of further shares ranking in priority thereto or pari passu therewith.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ON SALE OF SHARES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in so far as the Statutes from time to time permit payment of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NON-RECOGNITION OF TRUSTS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LIEN ON SHARES</w:t>
      </w:r>
    </w:p>
    <w:p>
      <w:pPr>
        <w:spacing w:after="0" w:line="229" w:lineRule="exact"/>
        <w:rPr>
          <w:sz w:val="20"/>
          <w:szCs w:val="20"/>
          <w:color w:val="auto"/>
        </w:rPr>
      </w:pPr>
    </w:p>
    <w:p>
      <w:pPr>
        <w:jc w:val="both"/>
        <w:ind w:left="640" w:hanging="632"/>
        <w:spacing w:after="0" w:line="258" w:lineRule="auto"/>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640" w:hanging="632"/>
        <w:spacing w:after="0" w:line="261" w:lineRule="auto"/>
        <w:tabs>
          <w:tab w:leader="none" w:pos="6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CALLS ON SHARES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terms of allotment, 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79"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231F20"/>
        </w:rPr>
      </w:pPr>
    </w:p>
    <w:p>
      <w:pPr>
        <w:jc w:val="both"/>
        <w:ind w:left="640" w:right="20" w:hanging="632"/>
        <w:spacing w:after="0" w:line="266" w:lineRule="auto"/>
        <w:tabs>
          <w:tab w:leader="none" w:pos="6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make arrangements on the issue of shares for a difference between the Members, or the particular shares, in the amount of calls to be paid and in the times of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40" w:hanging="632"/>
        <w:spacing w:after="0" w:line="256" w:lineRule="auto"/>
        <w:tabs>
          <w:tab w:leader="none" w:pos="64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FORFEITURE OF SHARES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certificate in writing under the hand of a Director of the Company, which certifies that a share has been forfeited on a date stated in the certificate,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87"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231F20"/>
        </w:rPr>
        <w:t>REGISTRATION OF EMPOWERING INSTRUMENTS</w:t>
      </w:r>
    </w:p>
    <w:p>
      <w:pPr>
        <w:spacing w:after="0" w:line="229" w:lineRule="exact"/>
        <w:rPr>
          <w:sz w:val="20"/>
          <w:szCs w:val="20"/>
          <w:color w:val="auto"/>
        </w:rPr>
      </w:pPr>
    </w:p>
    <w:p>
      <w:pPr>
        <w:ind w:left="640" w:hanging="632"/>
        <w:spacing w:after="0" w:line="282" w:lineRule="auto"/>
        <w:tabs>
          <w:tab w:leader="none" w:pos="6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TRANSMISSION OF SHARES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183"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ALTERATION OF CAPITAL</w:t>
      </w:r>
    </w:p>
    <w:p>
      <w:pPr>
        <w:spacing w:after="0" w:line="229"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by Ordinary Resolution:</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the share capital by such sum, to be divided into shares of such classes and amount, as the resolution shall prescribe;</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spacing w:after="0" w:line="17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cancel any shares which, at the date of the passing of the resolution, have not been taken or agreed to be taken by any person and diminish the amount of its share capital by the amount of the shares so cancelled.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40" w:hanging="632"/>
        <w:spacing w:after="0" w:line="282" w:lineRule="auto"/>
        <w:tabs>
          <w:tab w:leader="none" w:pos="64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provisions of the Statutes and these Articles as regards to the matters to be dealt with by Ordinary Resolution, the Company may by Special Resolution:</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 its name;</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alter or add to these Articles;</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alter or add to the Memorandum of Association with respect to any objects, powers or other matters specified therein; and</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 its share capital and any capital redemption reserve in any manner authorized by law.</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new shares created hereunder shall be subject to the same provisions with reference to the payment of calls, liens, transfer, transmission, forfeiture and otherwise as the shares in the original share capital.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CLOSING REGISTER OF MEMBERS OR FIXING RECORD DATE</w:t>
      </w:r>
    </w:p>
    <w:p>
      <w:pPr>
        <w:spacing w:after="0" w:line="229" w:lineRule="exact"/>
        <w:rPr>
          <w:sz w:val="20"/>
          <w:szCs w:val="20"/>
          <w:color w:val="auto"/>
        </w:rPr>
      </w:pPr>
    </w:p>
    <w:p>
      <w:pPr>
        <w:jc w:val="both"/>
        <w:ind w:left="640" w:hanging="632"/>
        <w:spacing w:after="0" w:line="256" w:lineRule="auto"/>
        <w:tabs>
          <w:tab w:leader="none" w:pos="64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87"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231F20"/>
        </w:rPr>
        <w:t>GENERAL MEETINGS</w:t>
      </w:r>
    </w:p>
    <w:p>
      <w:pPr>
        <w:spacing w:after="0" w:line="229"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general meetings of the Company other than annual general meetings shall be called extraordinary general meetings.</w:t>
      </w:r>
    </w:p>
    <w:p>
      <w:pPr>
        <w:spacing w:after="0" w:line="225" w:lineRule="exact"/>
        <w:rPr>
          <w:rFonts w:ascii="Times New Roman" w:cs="Times New Roman" w:eastAsia="Times New Roman" w:hAnsi="Times New Roman"/>
          <w:sz w:val="18"/>
          <w:szCs w:val="18"/>
          <w:color w:val="231F20"/>
        </w:rPr>
      </w:pPr>
    </w:p>
    <w:p>
      <w:pPr>
        <w:ind w:left="1160" w:hanging="1152"/>
        <w:spacing w:after="0" w:line="261" w:lineRule="auto"/>
        <w:tabs>
          <w:tab w:leader="none" w:pos="661"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The Company shall hold a general meeting as its annual general meeting in each financial year, to be held within six months (or such other period as may be permitted by the Hong Kong Listing Rules or the Exchange) after the end of such financial year. The annual general meeting shall be specified as such in the notices calling it, and shall be held at such time and place (which, in the case of a Virtual Meeting, includes a virtual place) as the Directors shall determine.</w:t>
      </w:r>
    </w:p>
    <w:p>
      <w:pPr>
        <w:spacing w:after="0" w:line="179"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these meetings the report of the Directors (if any) shall be presented.</w:t>
      </w:r>
    </w:p>
    <w:p>
      <w:pPr>
        <w:spacing w:after="0" w:line="225" w:lineRule="exact"/>
        <w:rPr>
          <w:rFonts w:ascii="Times New Roman" w:cs="Times New Roman" w:eastAsia="Times New Roman" w:hAnsi="Times New Roman"/>
          <w:sz w:val="18"/>
          <w:szCs w:val="18"/>
          <w:color w:val="231F20"/>
        </w:rPr>
      </w:pPr>
    </w:p>
    <w:p>
      <w:pPr>
        <w:ind w:left="1160" w:hanging="1152"/>
        <w:spacing w:after="0" w:line="282" w:lineRule="auto"/>
        <w:tabs>
          <w:tab w:leader="none" w:pos="661"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The Directors may call general meetings, and they shall on a Members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231F20"/>
        </w:rPr>
      </w:pPr>
    </w:p>
    <w:p>
      <w:pPr>
        <w:jc w:val="both"/>
        <w:ind w:left="1160" w:right="20" w:hanging="504"/>
        <w:spacing w:after="0" w:line="266" w:lineRule="auto"/>
        <w:tabs>
          <w:tab w:leader="none" w:pos="1160"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Members requisition is a requisition of Members of the Company holding at the date of deposit of the requisition not less than one-tenth of the voting rights, on a one vote per share basis, of the Company which as at that date carries the right of voting at general meetings of the Company.</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requisition must state the objects of the meeting and the resolutions to be added to the meeting agenda, and must be signed by the requisitionists and deposited at the principal place of business of the Company (with a copy forwarded to the registered office), and may consist of several documents in like form each signed by one or more requisitionists.</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1" w:lineRule="auto"/>
        <w:tabs>
          <w:tab w:leader="none" w:pos="1160"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179"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general meeting convened as aforesaid by requisitionists shall be convened in the same manner as nearly as possible as that in which general meetings are to be convened by Directors.</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make Communication Facilities available for a specific general meeting or all general meetings of the Company so that Members and other participants may attend and participate at such general meetings by means of such Communication Facilities. Without limiting the generality of the foregoing, the Directors may determine that any general meeting may be held as a Virtual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231F20"/>
        </w:rPr>
        <w:t>NOTICE OF GENERAL MEETINGS</w:t>
      </w:r>
    </w:p>
    <w:p>
      <w:pPr>
        <w:spacing w:after="0" w:line="229"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231F20"/>
        </w:rPr>
        <w:t>54A.</w:t>
        <w:tab/>
        <w:t>An annual general meeting shall be called by not less than 21 days’ notice in writing and any extraordinary general meeting shall be called by not less than 14 days’ notice in writing. Subject to the requirement under the Hong Kong Listing Rules, the notice shall be exclusive of the day on which it is served or deemed to be served and of the day for which it is given, and shall specify the time, place (which, in the case of a Virtual Meeting, includes a virtual place), and agenda of the meeting, particulars of the resolutions and the general nature of the business to be considered at the meeting. The notice convening an annual general meeting shall specify the meeting as such, and the notice convening a meeting to pass a Special Resolution shall specify the intention to propose the resolution as a Special Resolution. Notice of every general meeting shall be given to the Auditors and to all members other than such as, under the provisions hereof or the terms of issue of the shares they hold, are not entitled to receive such notice from the Company. Notwithstanding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94" w:lineRule="exact"/>
        <w:rPr>
          <w:sz w:val="20"/>
          <w:szCs w:val="20"/>
          <w:color w:val="auto"/>
        </w:rPr>
      </w:pPr>
    </w:p>
    <w:p>
      <w:pPr>
        <w:ind w:left="1160" w:hanging="504"/>
        <w:spacing w:after="0"/>
        <w:tabs>
          <w:tab w:leader="none" w:pos="11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an annual general meeting by all the Members (or their proxies) entitled to attend and vote thereat; and</w:t>
      </w:r>
    </w:p>
    <w:p>
      <w:pPr>
        <w:spacing w:after="0" w:line="22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an extraordinary general meeting by a majority in number of the Members (or their proxies) having a right to attend and vote at the meeting, being a majority together holding not less than ninety five percent in par value of the shares giving that right.</w:t>
      </w:r>
    </w:p>
    <w:p>
      <w:pPr>
        <w:spacing w:after="0" w:line="162" w:lineRule="exact"/>
        <w:rPr>
          <w:sz w:val="20"/>
          <w:szCs w:val="20"/>
          <w:color w:val="auto"/>
        </w:rPr>
      </w:pPr>
    </w:p>
    <w:p>
      <w:pPr>
        <w:jc w:val="both"/>
        <w:ind w:left="640" w:hanging="639"/>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231F20"/>
        </w:rPr>
        <w:t>54B.</w:t>
        <w:tab/>
        <w:t>The notice of any general meeting at which Communication Facilities will be utilised (including any Virtual Meeting) shall specify the Communication Facilities that will be utilised, including the procedures to be followed by any Member or other participant of the general meeting who wishes to utilise such Communication Facilities for the purpose of attending, participating and voting at such meeting.</w:t>
      </w:r>
    </w:p>
    <w:p>
      <w:pPr>
        <w:spacing w:after="0" w:line="176" w:lineRule="exact"/>
        <w:rPr>
          <w:sz w:val="20"/>
          <w:szCs w:val="20"/>
          <w:color w:val="auto"/>
        </w:rPr>
      </w:pPr>
    </w:p>
    <w:p>
      <w:pPr>
        <w:ind w:left="640" w:hanging="632"/>
        <w:spacing w:after="0" w:line="282" w:lineRule="auto"/>
        <w:tabs>
          <w:tab w:leader="none" w:pos="6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accidental omission to give notice of a meeting to or the non-receipt of a notice of a meeting by any Member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PROCEEDINGS AT GENERAL MEETINGS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business shall be transacted at any general meeting unless a quorum of Members is Present at the time when the meeting proceeds to business. One or more Members holding not less than an aggregate of one-tenth of all voting share capital of the Company in issue Present and entitled to vote shall be a quorum for all purposes.</w:t>
      </w:r>
    </w:p>
    <w:p>
      <w:pPr>
        <w:spacing w:after="0" w:line="17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[Reserved].</w:t>
      </w:r>
    </w:p>
    <w:p>
      <w:pPr>
        <w:spacing w:after="0" w:line="225"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within half an hour from the time appointed for the meeting a quorum is not Present, the meeting, if convened upon the requisition of Members, shall be dissolved. In any other case it shall stand adjourned to the same day in the next week, at the same time and place (whether physical or virtual), and if at the adjourned meeting a quorum is not Present within half an hour from the time appointed for the meeting, the meeting shall be dissolved.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40" w:hanging="632"/>
        <w:spacing w:after="0" w:line="282" w:lineRule="auto"/>
        <w:tabs>
          <w:tab w:leader="none" w:pos="64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Chairman of the Board of Directors shall preside as chairman at every general meeting of the Company, except as provided in Article 60 below.</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at any meeting the Chairman of the Board of Directors is not Present within fifteen minutes after the time appointed for holding the meeting or is unwilling to act as chairman, the Directors Present shall elect one of their members to be chairman of the meeting, or, if no Director is so elected and willing to be chairman of the meeting, the Members Present shall choose a chairman of the meeting.</w:t>
      </w:r>
    </w:p>
    <w:p>
      <w:pPr>
        <w:spacing w:after="0" w:line="176" w:lineRule="exact"/>
        <w:rPr>
          <w:sz w:val="20"/>
          <w:szCs w:val="20"/>
          <w:color w:val="auto"/>
        </w:rPr>
      </w:pPr>
    </w:p>
    <w:p>
      <w:pPr>
        <w:ind w:left="640" w:right="20" w:hanging="639"/>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231F20"/>
        </w:rPr>
        <w:t>60A.</w:t>
        <w:tab/>
        <w:t>The chairman of any general meeting shall be entitled to attend and participate at such general meeting by means of Communication Facilities, and to act as the chairman, in which event:</w:t>
      </w:r>
    </w:p>
    <w:p>
      <w:pPr>
        <w:spacing w:after="0" w:line="162" w:lineRule="exact"/>
        <w:rPr>
          <w:sz w:val="20"/>
          <w:szCs w:val="20"/>
          <w:color w:val="auto"/>
        </w:rPr>
      </w:pPr>
    </w:p>
    <w:p>
      <w:pPr>
        <w:ind w:left="1160" w:hanging="504"/>
        <w:spacing w:after="0"/>
        <w:tabs>
          <w:tab w:leader="none" w:pos="1160" w:val="left"/>
        </w:tabs>
        <w:numPr>
          <w:ilvl w:val="1"/>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chairman shall be deemed to be Present at the meeting; and</w:t>
      </w:r>
    </w:p>
    <w:p>
      <w:pPr>
        <w:spacing w:after="0" w:line="225" w:lineRule="exact"/>
        <w:rPr>
          <w:rFonts w:ascii="Times New Roman" w:cs="Times New Roman" w:eastAsia="Times New Roman" w:hAnsi="Times New Roman"/>
          <w:sz w:val="18"/>
          <w:szCs w:val="18"/>
          <w:color w:val="231F20"/>
        </w:rPr>
      </w:pPr>
    </w:p>
    <w:p>
      <w:pPr>
        <w:jc w:val="both"/>
        <w:ind w:left="1160" w:hanging="504"/>
        <w:spacing w:after="0" w:line="258" w:lineRule="auto"/>
        <w:tabs>
          <w:tab w:leader="none" w:pos="1160" w:val="left"/>
        </w:tabs>
        <w:numPr>
          <w:ilvl w:val="1"/>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Communication Facilities are interrupted or fail for any reason to enable the chairman to hear and be heard by all other Persons attending and participating at the meeting, then the Directors Present at the meeting shall choose another Director Present to act as chairman of the meeting for the remainder of the meeting; provided that if (i) no other Director is Present at the meeting, or (ii) all the Directors Present decline to take the chair, the meeting shall be automatically adjourned to the same day in the next week and at such time and place (whether physical or virtual) as shall be decided by the Directors.</w:t>
      </w:r>
    </w:p>
    <w:p>
      <w:pPr>
        <w:spacing w:after="0" w:line="183"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chairman of a general meeting may with the consent of any meeting at which a quorum is Present (and shall if so directed by the meeting) adjourn a meeting from time to time and from place to place (whether physical or virtual), but no business shall be transacted at any adjourned meeting other than the business left unfinished at the meeting from which the adjournment took place. When a meeting is adjourned for 10 calendar days or more, not less than 7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any general meeting a resolution put to the vote of the meeting shall be decided on a show of hands, unless a poll is (before or on the declaration of the result of the show of hands) demanded by one or more Members Present entitled to vote and who together hold not less than 10 percent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87"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poll is duly demanded it shall be taken in such manner (including by electronic voting) as the chairman directs, and the result of the poll shall be deemed to be the resolution of the meeting at which the poll was demanded. The demand for a poll may be withdrawn.</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an equality of votes, whether on a show of hands or on a poll, the chairman of the meeting at which the show of hands takes place or at which the poll is demanded, shall not be entitled to a second or casting vote.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40" w:hanging="632"/>
        <w:spacing w:after="0" w:line="282" w:lineRule="auto"/>
        <w:tabs>
          <w:tab w:leader="none" w:pos="64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poll demanded on the election of a chairman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VOTES OF MEMBERS</w:t>
      </w:r>
    </w:p>
    <w:p>
      <w:pPr>
        <w:spacing w:after="0" w:line="229" w:lineRule="exact"/>
        <w:rPr>
          <w:sz w:val="20"/>
          <w:szCs w:val="20"/>
          <w:color w:val="auto"/>
        </w:rPr>
      </w:pPr>
    </w:p>
    <w:p>
      <w:pPr>
        <w:ind w:left="640" w:hanging="632"/>
        <w:spacing w:after="0" w:line="282" w:lineRule="auto"/>
        <w:tabs>
          <w:tab w:leader="none" w:pos="64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any rights and restrictions for the time being attached to any Shares, at any general meeting every Member Present shall have (a) the right to speak, (b) one vote on a show of hands, and (c) one vote for each share registered in his name in the Register of Members on a poll.</w:t>
      </w:r>
    </w:p>
    <w:p>
      <w:pPr>
        <w:spacing w:after="0" w:line="162" w:lineRule="exact"/>
        <w:rPr>
          <w:sz w:val="20"/>
          <w:szCs w:val="20"/>
          <w:color w:val="auto"/>
        </w:rPr>
      </w:pPr>
    </w:p>
    <w:p>
      <w:pPr>
        <w:jc w:val="both"/>
        <w:ind w:left="640" w:hanging="639"/>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231F20"/>
        </w:rPr>
        <w:t>66A.</w:t>
        <w:tab/>
        <w:t>Where any Member is, under the Hong Kong Listing Rules, required to abstain from voting on any particular resolution or restricted to voting only for or only against any particular resolution, any votes cast by or on behalf of such Member in contravention of such requirement or restriction shall not be counted.</w:t>
      </w:r>
    </w:p>
    <w:p>
      <w:pPr>
        <w:spacing w:after="0" w:line="176" w:lineRule="exact"/>
        <w:rPr>
          <w:sz w:val="20"/>
          <w:szCs w:val="20"/>
          <w:color w:val="auto"/>
        </w:rPr>
      </w:pPr>
    </w:p>
    <w:p>
      <w:pPr>
        <w:ind w:left="640" w:right="20" w:hanging="632"/>
        <w:spacing w:after="0" w:line="282" w:lineRule="auto"/>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7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Member shall be entitled to vote at any general meeting unless all calls or other sums presently payable by him in respect of shares in the Company have been paid.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5" w:lineRule="auto"/>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 poll, votes may be given either personally or by proxy. Any Member entitled to attend and vote at a meeting of the Company shall be entitled to appoint another person as his proxy to attend and vote instead of him. A proxy need not be a Member of the Company. On a poll, a Member holding more than one Share need not cast the votes in respect of their Shares in the same way on any resolution and therefore may vote a Share or some or all such Shares either for or against a resolution and/or abstain from voting a Share or some or all of the Shares and, subject to the terms of the instrument appointing the proxy, a proxy appointed under one or more instruments may vote a Share or some or all of the Shares in respect of which they are appointed either for or against a resolution and/or abstain from voting a Share or some or all of the Shares in respect of which they are appointed.</w:t>
      </w:r>
    </w:p>
    <w:p>
      <w:pPr>
        <w:spacing w:after="0" w:line="188"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appointing a proxy shall be in writing under the hand of the appointor or of his attorney duly authorized in writing or, if the appointor is a corporation, either under seal or under the hand of an officer or attorney duly authorized.</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instrument appointing a proxy may be in any usual or common form or such other form as the Directors may approve. The instrument appointing a proxy shall be deemed to confer authority to demand or join in demanding a poll.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40" w:hanging="632"/>
        <w:spacing w:after="0" w:line="282" w:lineRule="auto"/>
        <w:tabs>
          <w:tab w:leader="none" w:pos="64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instrument appointing a proxy shall be deposited at the registered office or at such other place or in such other manner (including by electronic means)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where the poll is not taken forthwith but is taken not more than 48 hours after it was demanded be delivered at the meeting at which the poll was demanded to the chairman or to the secretary or to any Director;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231F20"/>
        </w:rPr>
        <w:t>provided that the Directors may in the notice convening the meeting, or in an instrument of proxy sent out by the Company, direct that the instrument appointing a proxy may be deposited (no later than the time for holding the meeting or adjourned meeting) at the registered office or at such other place or in such other manner (including by electronic means)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83" w:lineRule="exact"/>
        <w:rPr>
          <w:sz w:val="20"/>
          <w:szCs w:val="20"/>
          <w:color w:val="auto"/>
        </w:rPr>
      </w:pPr>
    </w:p>
    <w:p>
      <w:pPr>
        <w:jc w:val="both"/>
        <w:ind w:left="640" w:hanging="632"/>
        <w:spacing w:after="0" w:line="261" w:lineRule="auto"/>
        <w:tabs>
          <w:tab w:leader="none" w:pos="64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before the commencement of the general meeting, or adjourned meeting at which it is sought to use the proxy.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CORPORATIONS ACTING BY REPRESENTATIVES AT MEETING</w:t>
      </w:r>
    </w:p>
    <w:p>
      <w:pPr>
        <w:spacing w:after="0" w:line="229" w:lineRule="exact"/>
        <w:rPr>
          <w:sz w:val="20"/>
          <w:szCs w:val="20"/>
          <w:color w:val="auto"/>
        </w:rPr>
      </w:pPr>
    </w:p>
    <w:p>
      <w:pPr>
        <w:jc w:val="both"/>
        <w:ind w:left="640" w:hanging="632"/>
        <w:spacing w:after="0" w:line="261" w:lineRule="auto"/>
        <w:tabs>
          <w:tab w:leader="none" w:pos="64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CLEARING HOUSES</w:t>
      </w:r>
    </w:p>
    <w:p>
      <w:pPr>
        <w:spacing w:after="0" w:line="229" w:lineRule="exact"/>
        <w:rPr>
          <w:sz w:val="20"/>
          <w:szCs w:val="20"/>
          <w:color w:val="auto"/>
        </w:rPr>
      </w:pPr>
    </w:p>
    <w:p>
      <w:pPr>
        <w:jc w:val="both"/>
        <w:ind w:left="640" w:hanging="632"/>
        <w:spacing w:after="0" w:line="254" w:lineRule="auto"/>
        <w:tabs>
          <w:tab w:leader="none" w:pos="64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recognised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The person so authorized will be deemed to have been duly authorized without the need to produce any documents of title, notarized authorization and/or further evidence to substantiate that that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231F20"/>
        </w:rPr>
        <w:t>DIRECTORS</w:t>
      </w:r>
    </w:p>
    <w:p>
      <w:pPr>
        <w:spacing w:after="0" w:line="229" w:lineRule="exact"/>
        <w:rPr>
          <w:sz w:val="20"/>
          <w:szCs w:val="20"/>
          <w:color w:val="auto"/>
        </w:rPr>
      </w:pPr>
    </w:p>
    <w:p>
      <w:pPr>
        <w:ind w:left="1140" w:hanging="1132"/>
        <w:spacing w:after="0" w:line="282" w:lineRule="auto"/>
        <w:tabs>
          <w:tab w:leader="none" w:pos="654"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The Board shall consist of no less than five Directors, provided that the Company may from time to time by Ordinary Resolution increase or decrease the number of Directors on the Board.</w:t>
      </w:r>
    </w:p>
    <w:p>
      <w:pPr>
        <w:spacing w:after="0" w:line="161" w:lineRule="exact"/>
        <w:rPr>
          <w:rFonts w:ascii="Times New Roman" w:cs="Times New Roman" w:eastAsia="Times New Roman" w:hAnsi="Times New Roman"/>
          <w:sz w:val="18"/>
          <w:szCs w:val="18"/>
          <w:color w:val="231F20"/>
        </w:rPr>
      </w:pPr>
    </w:p>
    <w:p>
      <w:pPr>
        <w:jc w:val="both"/>
        <w:ind w:left="1160" w:hanging="504"/>
        <w:spacing w:after="0" w:line="252" w:lineRule="auto"/>
        <w:tabs>
          <w:tab w:leader="none" w:pos="1160" w:val="left"/>
        </w:tabs>
        <w:numPr>
          <w:ilvl w:val="1"/>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Director shall hold office until the expiration of his term and until his successor shall have been elected and qualified. The Board of Directors shall have a Chairman of the Board of Directors (the “Chairman”)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 Subject to these Articles and the Companies Act, the Company may by Ordinary Resolution elect any person to be a Director either to fill a casual vacancy on the Board or as an addition to the existing Board. 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 to the existing Board, subject to the Company’s compliance with director nomination procedures required under applicable New York Stock Exchange corporate governance rules, as long as the Company’s American depositary shares are traded on the New York Stock Exchange. Any Director so appointed by the affirmative vote of a simple majority of the remaining Directors present and voting at a Board meeting, or the sole remaining Director to fill a casual vacancy on or as an addition to the existing Board shall hold office only until the next following annual general meeting of the Company and shall then be eligible for re-election at that meeting.</w:t>
      </w:r>
    </w:p>
    <w:p>
      <w:pPr>
        <w:spacing w:after="0" w:line="19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(including a Managing Director or other executive director) may be removed (with or without cause) from office by Ordinary Resolution at any time before the expiration of his term notwithstanding any agreement between the Company and such Director (but without prejudice to any claim for damages under such agreement).</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54" w:lineRule="auto"/>
        <w:tabs>
          <w:tab w:leader="none" w:pos="1160" w:val="left"/>
        </w:tabs>
        <w:numPr>
          <w:ilvl w:val="1"/>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vacancy on the Board created by the removal of a Director may be filled by the election or appointment by Ordinary Resolution at the meeting at which such Director is removed or by the affirmative vote of a simple majority of the remaining Directors present and voting at a duly called and constituted Board meeting. Notwithstanding anything to the contrary in these Articles, any persons entitled to designate any individual to be elected as a director of the Board pursuant to the Article 77(b) above shall have the right to remove any such director occupying such position and to fill any vacancy caused by the death, disability, retirement, resignation or removal of any director occupying such position during the periods specified in Article 77(b). If a vacancy is created on the Board at any time by the death, disability, retirement, resignation or removal of any director designated pursuant to the above Article 77(b), the replacement to fill such vacancy shall be designated in the same manner, in accordance with this Article 77(b), as the director whose seat was vacated.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left="640" w:hanging="632"/>
        <w:spacing w:after="0" w:line="261" w:lineRule="auto"/>
        <w:tabs>
          <w:tab w:leader="none" w:pos="64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subject to the requirements of the Hong Kong Listing Rules, from time to time, and except as required or prohibited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79"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DIRECTORS’ FEES AND EXPENSES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receive such remuneration as the Board may from time to time determine. The Directors may be entitled to be repaid all traveling,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ALTERNATE DIRECTOR</w:t>
      </w:r>
    </w:p>
    <w:p>
      <w:pPr>
        <w:spacing w:after="0" w:line="229" w:lineRule="exact"/>
        <w:rPr>
          <w:sz w:val="20"/>
          <w:szCs w:val="20"/>
          <w:color w:val="auto"/>
        </w:rPr>
      </w:pPr>
    </w:p>
    <w:p>
      <w:pPr>
        <w:jc w:val="both"/>
        <w:ind w:left="640" w:hanging="632"/>
        <w:spacing w:after="0" w:line="256" w:lineRule="auto"/>
        <w:tabs>
          <w:tab w:leader="none" w:pos="64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An alternate Director shall cease to be an alternate Director if his appointor ceases to be a Director.</w:t>
      </w:r>
    </w:p>
    <w:p>
      <w:pPr>
        <w:spacing w:after="0" w:line="187"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at which such proxy is to be used, or first used, prior to the commencement of the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231F20"/>
        </w:rPr>
        <w:t>POWERS AND DUTIES OF DIRECTORS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54" w:lineRule="auto"/>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Chief Operating Officer, Chief Financial Officer, Chief Technology Officer, one or more Vice Presidents,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body (but not an alternate Director)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9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87"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 w:name="page29"/>
    <w:bookmarkEnd w:id="28"/>
    <w:p>
      <w:pPr>
        <w:jc w:val="both"/>
        <w:ind w:left="640" w:hanging="632"/>
        <w:spacing w:after="0" w:line="258" w:lineRule="auto"/>
        <w:tabs>
          <w:tab w:leader="none" w:pos="64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83"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such delegates as aforesaid may be authorised by the Directors to sub-delegate all or any of the powers, authorities, and discretions for the time being vested to them.</w:t>
      </w:r>
    </w:p>
    <w:p>
      <w:pPr>
        <w:spacing w:after="0" w:line="161" w:lineRule="exact"/>
        <w:rPr>
          <w:rFonts w:ascii="Times New Roman" w:cs="Times New Roman" w:eastAsia="Times New Roman" w:hAnsi="Times New Roman"/>
          <w:sz w:val="18"/>
          <w:szCs w:val="18"/>
          <w:color w:val="231F20"/>
        </w:rPr>
      </w:pPr>
    </w:p>
    <w:p>
      <w:pPr>
        <w:jc w:val="both"/>
        <w:ind w:left="640" w:right="20" w:hanging="632"/>
        <w:spacing w:after="0" w:line="266" w:lineRule="auto"/>
        <w:tabs>
          <w:tab w:leader="none" w:pos="64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DISQUALIFICATION OF DIRECTORS</w:t>
      </w:r>
    </w:p>
    <w:p>
      <w:pPr>
        <w:spacing w:after="0" w:line="229"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Notwithstanding anything in these Articles, the office of Director shall be vacated, if the Director:</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dies, becomes bankrupt or makes any arrangement or composition with his creditors;</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 found to be or becomes of unsound mind;</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resigns his office by notice in writing to the Company; or</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shall be removed from office pursuant to Articles 77 or the Statutes.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PROCEEDINGS OF DIRECTORS</w:t>
      </w:r>
    </w:p>
    <w:p>
      <w:pPr>
        <w:spacing w:after="0" w:line="229" w:lineRule="exact"/>
        <w:rPr>
          <w:sz w:val="20"/>
          <w:szCs w:val="20"/>
          <w:color w:val="auto"/>
        </w:rPr>
      </w:pPr>
    </w:p>
    <w:p>
      <w:pPr>
        <w:ind w:left="640" w:hanging="632"/>
        <w:spacing w:after="0" w:line="282" w:lineRule="auto"/>
        <w:tabs>
          <w:tab w:leader="none" w:pos="64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meet together (whether within or outside the Cayman Islands) for the dispatch of business, adjourn, and otherwise regulate their meetings and proceedings as they think fit.</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may at any time summon a meeting of the Directors by prior notice to every other Director and alternate Director.</w:t>
      </w:r>
    </w:p>
    <w:p>
      <w:pPr>
        <w:spacing w:after="0" w:line="225" w:lineRule="exact"/>
        <w:rPr>
          <w:rFonts w:ascii="Times New Roman" w:cs="Times New Roman" w:eastAsia="Times New Roman" w:hAnsi="Times New Roman"/>
          <w:sz w:val="18"/>
          <w:szCs w:val="18"/>
          <w:color w:val="231F20"/>
        </w:rPr>
      </w:pPr>
    </w:p>
    <w:p>
      <w:pPr>
        <w:jc w:val="both"/>
        <w:ind w:left="640" w:right="20" w:hanging="632"/>
        <w:spacing w:after="0" w:line="266" w:lineRule="auto"/>
        <w:tabs>
          <w:tab w:leader="none" w:pos="64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Notice of a meeting of the Board shall be deemed to be duly given to a Director if it is given to such Director verbally (in person or by telephone) or otherwise communicated or sent to such Director by post, cable, telex, telecopier, facsimile, electronic mail or other mode of representing words in a legible form at such Director’s last known address or any other address given by such Director to the Company for this purpose.</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or Directors may participate in any meeting of the Board of Directors, or of any committee appointed by the Board of Directors of which such Director or Directors are members, by means of conference telephone, video conference or similar communication equipment by way of which all persons participating in such meeting can hear each other and such participation shall be deemed to constitute presence in person at the meeting.</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640" w:hanging="632"/>
        <w:spacing w:after="0" w:line="277" w:lineRule="auto"/>
        <w:tabs>
          <w:tab w:leader="none" w:pos="640" w:val="left"/>
        </w:tabs>
        <w:numPr>
          <w:ilvl w:val="0"/>
          <w:numId w:val="5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quorum necessary for the transaction of the business of the Directors may be fixed by the Directors and unless so fixed shall be three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w:t>
      </w:r>
    </w:p>
    <w:p>
      <w:pPr>
        <w:spacing w:after="0" w:line="167" w:lineRule="exact"/>
        <w:rPr>
          <w:rFonts w:ascii="Times New Roman" w:cs="Times New Roman" w:eastAsia="Times New Roman" w:hAnsi="Times New Roman"/>
          <w:sz w:val="17"/>
          <w:szCs w:val="17"/>
          <w:color w:val="231F20"/>
        </w:rPr>
      </w:pPr>
    </w:p>
    <w:p>
      <w:pPr>
        <w:jc w:val="both"/>
        <w:ind w:left="640" w:hanging="632"/>
        <w:spacing w:after="0" w:line="261" w:lineRule="auto"/>
        <w:tabs>
          <w:tab w:leader="none" w:pos="64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quorum is not present at a Board meeting within thirty (30) minutes following the time appointed for such Board meeting, the relevant meeting shall be adjourned for a period of at least three (3) Business Days and the presence of any three (3) Directors shall constitute a quorum at such adjourned meeting. A meeting of the Directors at which a quorum is present when the meeting proceeds to business shall be competent to exercise all powers and discretions for the time being exercisable by the Directors.</w:t>
      </w:r>
    </w:p>
    <w:p>
      <w:pPr>
        <w:spacing w:after="0" w:line="179"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Questions arising at any meeting of the Directors shall be decided by a majority of votes and each Director shall be entitled to one (1) vote in deciding matters deliberated at any meeting of the Directors.</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case of equality of votes, the Chairman shall have a second or casting vote.</w:t>
      </w:r>
    </w:p>
    <w:p>
      <w:pPr>
        <w:spacing w:after="0" w:line="225"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87" w:lineRule="exact"/>
        <w:rPr>
          <w:rFonts w:ascii="Times New Roman" w:cs="Times New Roman" w:eastAsia="Times New Roman" w:hAnsi="Times New Roman"/>
          <w:sz w:val="18"/>
          <w:szCs w:val="18"/>
          <w:color w:val="231F20"/>
        </w:rPr>
      </w:pPr>
    </w:p>
    <w:p>
      <w:pPr>
        <w:jc w:val="both"/>
        <w:ind w:left="640" w:hanging="632"/>
        <w:spacing w:after="0" w:line="254" w:lineRule="auto"/>
        <w:tabs>
          <w:tab w:leader="none" w:pos="64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40" w:hanging="632"/>
        <w:spacing w:after="0" w:line="266"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7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shall cause minutes to be made in books or loose-leaf folders provided for the purpose of recording:</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appointments of officers made by the Directors;</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resolution signed by all the Directors shall be as valid and effectual as if it had been passed at a meeting of the Directors duly called and constituted and when signed, a resolution may consist of several documents each signed by one or more of the Directors.</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continuing Directors may act, notwithstanding any vacancy in their body, but if their number is reduced below the number fixed pursuant to these Articles as the necessary quorum of Directors, then the continuing Directors may act only to increase the number or to summon a general meeting of the Company, but for no other purpose.</w:t>
      </w:r>
    </w:p>
    <w:p>
      <w:pPr>
        <w:spacing w:after="0" w:line="175" w:lineRule="exact"/>
        <w:rPr>
          <w:rFonts w:ascii="Times New Roman" w:cs="Times New Roman" w:eastAsia="Times New Roman" w:hAnsi="Times New Roman"/>
          <w:sz w:val="18"/>
          <w:szCs w:val="18"/>
          <w:color w:val="231F20"/>
        </w:rPr>
      </w:pPr>
    </w:p>
    <w:p>
      <w:pPr>
        <w:jc w:val="both"/>
        <w:ind w:left="640" w:hanging="632"/>
        <w:spacing w:after="0" w:line="256"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delegate any of its powers, authorities and discretions to committees,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 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87"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231F20"/>
        </w:rPr>
        <w:t>PRESUMPTION OF ASSENT</w:t>
      </w:r>
    </w:p>
    <w:p>
      <w:pPr>
        <w:spacing w:after="0" w:line="229" w:lineRule="exact"/>
        <w:rPr>
          <w:sz w:val="20"/>
          <w:szCs w:val="20"/>
          <w:color w:val="auto"/>
        </w:rPr>
      </w:pPr>
    </w:p>
    <w:p>
      <w:pPr>
        <w:jc w:val="both"/>
        <w:ind w:left="640" w:hanging="632"/>
        <w:spacing w:after="0" w:line="258" w:lineRule="auto"/>
        <w:tabs>
          <w:tab w:leader="none" w:pos="64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DIVIDENDS, DISTRIBUTIONS AND RESERVE</w:t>
      </w:r>
    </w:p>
    <w:p>
      <w:pPr>
        <w:spacing w:after="0" w:line="229" w:lineRule="exact"/>
        <w:rPr>
          <w:sz w:val="20"/>
          <w:szCs w:val="20"/>
          <w:color w:val="auto"/>
        </w:rPr>
      </w:pPr>
    </w:p>
    <w:p>
      <w:pPr>
        <w:jc w:val="both"/>
        <w:ind w:left="640" w:hanging="632"/>
        <w:spacing w:after="0" w:line="266" w:lineRule="auto"/>
        <w:tabs>
          <w:tab w:leader="none" w:pos="64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17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83" w:lineRule="exact"/>
        <w:rPr>
          <w:sz w:val="20"/>
          <w:szCs w:val="20"/>
          <w:color w:val="auto"/>
        </w:rPr>
      </w:pPr>
    </w:p>
    <w:p>
      <w:pPr>
        <w:ind w:left="660" w:hanging="647"/>
        <w:spacing w:after="0" w:line="282" w:lineRule="auto"/>
        <w:rPr>
          <w:sz w:val="20"/>
          <w:szCs w:val="20"/>
          <w:color w:val="auto"/>
        </w:rPr>
      </w:pPr>
      <w:r>
        <w:rPr>
          <w:rFonts w:ascii="Times New Roman" w:cs="Times New Roman" w:eastAsia="Times New Roman" w:hAnsi="Times New Roman"/>
          <w:sz w:val="18"/>
          <w:szCs w:val="18"/>
          <w:color w:val="231F20"/>
        </w:rPr>
        <w:t>115A. 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62" w:lineRule="exact"/>
        <w:rPr>
          <w:sz w:val="20"/>
          <w:szCs w:val="20"/>
          <w:color w:val="auto"/>
        </w:rPr>
      </w:pPr>
    </w:p>
    <w:p>
      <w:pPr>
        <w:jc w:val="both"/>
        <w:ind w:left="640" w:hanging="632"/>
        <w:spacing w:after="0" w:line="261" w:lineRule="auto"/>
        <w:tabs>
          <w:tab w:leader="none" w:pos="64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79" w:lineRule="exact"/>
        <w:rPr>
          <w:rFonts w:ascii="Times New Roman" w:cs="Times New Roman" w:eastAsia="Times New Roman" w:hAnsi="Times New Roman"/>
          <w:sz w:val="18"/>
          <w:szCs w:val="18"/>
          <w:color w:val="231F20"/>
        </w:rPr>
      </w:pPr>
    </w:p>
    <w:p>
      <w:pPr>
        <w:ind w:left="640" w:right="20" w:hanging="632"/>
        <w:spacing w:after="0" w:line="282" w:lineRule="auto"/>
        <w:tabs>
          <w:tab w:leader="none" w:pos="64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when paying dividends to the Members in accordance with the foregoing provisions may make such payment either in cash or in specie.</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Dividends may be declared and paid out of profits of the Company, realised or unrealised, or from any reserve set aside from profits which the Directors determine is no longer needed. Dividends may also be declared and paid out of share premium account or any other fund or account which can be authorised for this purpose in accordance with the Companies Act.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left="640" w:hanging="632"/>
        <w:spacing w:after="0" w:line="261" w:lineRule="auto"/>
        <w:tabs>
          <w:tab w:leader="none" w:pos="64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several persons are registered as joint holders of any share, any of them may give effectual receipts for any dividend or other moneys payable on or in respect of the share.</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dividend shall bear interest against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BOOK OF ACCOUNTS</w:t>
      </w:r>
    </w:p>
    <w:p>
      <w:pPr>
        <w:spacing w:after="0" w:line="229"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books of account shall be kept at such place or places as the Directors think fit, and shall always be open to the inspection of the Directors.</w:t>
      </w:r>
    </w:p>
    <w:p>
      <w:pPr>
        <w:spacing w:after="0" w:line="225"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ANNUAL RETURNS AND FILINGS</w:t>
      </w:r>
    </w:p>
    <w:p>
      <w:pPr>
        <w:spacing w:after="0" w:line="229" w:lineRule="exact"/>
        <w:rPr>
          <w:sz w:val="20"/>
          <w:szCs w:val="20"/>
          <w:color w:val="auto"/>
        </w:rPr>
      </w:pPr>
    </w:p>
    <w:p>
      <w:pPr>
        <w:ind w:left="640" w:hanging="632"/>
        <w:spacing w:after="0"/>
        <w:tabs>
          <w:tab w:leader="none" w:pos="64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make the requisite annual returns and any other requisite filings in accordance with the Companies Act.</w:t>
      </w:r>
    </w:p>
    <w:p>
      <w:pPr>
        <w:spacing w:after="0" w:line="221" w:lineRule="exact"/>
        <w:rPr>
          <w:rFonts w:ascii="Times New Roman" w:cs="Times New Roman" w:eastAsia="Times New Roman" w:hAnsi="Times New Roman"/>
          <w:sz w:val="18"/>
          <w:szCs w:val="18"/>
          <w:color w:val="231F20"/>
        </w:rPr>
      </w:pPr>
    </w:p>
    <w:p>
      <w:pPr>
        <w:ind w:left="53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AUDIT</w:t>
      </w:r>
    </w:p>
    <w:p>
      <w:pPr>
        <w:spacing w:after="0" w:line="229"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appointment, removal and remuneration of the Auditor shall be approved by a majority of the Members or other body that is independent of the Board. The removal of an auditor before the expiration of his period of office shall require the approval of an Ordinary Resolution.</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6" w:lineRule="auto"/>
        <w:tabs>
          <w:tab w:leader="none" w:pos="64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40" w:hanging="632"/>
        <w:spacing w:after="0" w:line="282" w:lineRule="auto"/>
        <w:tabs>
          <w:tab w:leader="none" w:pos="64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Auditors shall make a report on the accounts of the Company during their tenure of office at the next annual general meeting following their appointment and at any time during their term of office, upon request of the Directors at any general meeting of the Members.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SEAL</w:t>
      </w:r>
    </w:p>
    <w:p>
      <w:pPr>
        <w:spacing w:after="0" w:line="229" w:lineRule="exact"/>
        <w:rPr>
          <w:sz w:val="20"/>
          <w:szCs w:val="20"/>
          <w:color w:val="auto"/>
        </w:rPr>
      </w:pPr>
    </w:p>
    <w:p>
      <w:pPr>
        <w:jc w:val="both"/>
        <w:ind w:left="640" w:hanging="632"/>
        <w:spacing w:after="0" w:line="261" w:lineRule="auto"/>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p>
      <w:pPr>
        <w:spacing w:after="0" w:line="179" w:lineRule="exact"/>
        <w:rPr>
          <w:rFonts w:ascii="Times New Roman" w:cs="Times New Roman" w:eastAsia="Times New Roman" w:hAnsi="Times New Roman"/>
          <w:sz w:val="18"/>
          <w:szCs w:val="18"/>
          <w:color w:val="231F20"/>
        </w:rPr>
      </w:pPr>
    </w:p>
    <w:p>
      <w:pPr>
        <w:jc w:val="both"/>
        <w:ind w:left="640" w:hanging="632"/>
        <w:spacing w:after="0" w:line="255" w:lineRule="auto"/>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OFFICERS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Article 85, the Company may have the Chief Executive Officer, Chief Operating Officer, Chief Technology Officer and Chief Financial Officer, one or more Vice Presidents, Managers or Controllers,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CAPITALISATION OF PROFITS</w:t>
      </w:r>
    </w:p>
    <w:p>
      <w:pPr>
        <w:spacing w:after="0" w:line="229" w:lineRule="exact"/>
        <w:rPr>
          <w:sz w:val="20"/>
          <w:szCs w:val="20"/>
          <w:color w:val="auto"/>
        </w:rPr>
      </w:pPr>
    </w:p>
    <w:p>
      <w:pPr>
        <w:ind w:left="640" w:hanging="632"/>
        <w:spacing w:after="0"/>
        <w:tabs>
          <w:tab w:leader="none" w:pos="64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Statutes and these Articles, the Board may, with the authority of an Ordinary Resolution:</w:t>
      </w:r>
    </w:p>
    <w:p>
      <w:pPr>
        <w:spacing w:after="0" w:line="225" w:lineRule="exact"/>
        <w:rPr>
          <w:rFonts w:ascii="Times New Roman" w:cs="Times New Roman" w:eastAsia="Times New Roman" w:hAnsi="Times New Roman"/>
          <w:sz w:val="18"/>
          <w:szCs w:val="18"/>
          <w:color w:val="231F20"/>
        </w:rPr>
      </w:pPr>
    </w:p>
    <w:p>
      <w:pPr>
        <w:ind w:left="1160" w:hanging="504"/>
        <w:spacing w:after="0" w:line="282" w:lineRule="auto"/>
        <w:tabs>
          <w:tab w:leader="none" w:pos="1160" w:val="left"/>
        </w:tabs>
        <w:numPr>
          <w:ilvl w:val="1"/>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resolve to capitalise an amount standing to the credit of reserves (including a share premium account, capital redemption reserve and profit and loss account), whether or not available for distribution;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160" w:hanging="504"/>
        <w:spacing w:after="0" w:line="282" w:lineRule="auto"/>
        <w:tabs>
          <w:tab w:leader="none" w:pos="11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appropriate the sum resolved to be capitalised to the Members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231F20"/>
        </w:rPr>
      </w:pPr>
    </w:p>
    <w:p>
      <w:pPr>
        <w:ind w:left="1660" w:hanging="356"/>
        <w:spacing w:after="0"/>
        <w:tabs>
          <w:tab w:leader="none" w:pos="166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231F20"/>
        </w:rPr>
      </w:pPr>
    </w:p>
    <w:p>
      <w:pPr>
        <w:ind w:left="1660" w:hanging="356"/>
        <w:spacing w:after="0"/>
        <w:tabs>
          <w:tab w:leader="none" w:pos="1660"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paying up in full unissued shares or debentures of a nominal amount equal to that sum,</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231F20"/>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176" w:lineRule="exact"/>
        <w:rPr>
          <w:sz w:val="20"/>
          <w:szCs w:val="20"/>
          <w:color w:val="auto"/>
        </w:rPr>
      </w:pPr>
    </w:p>
    <w:p>
      <w:pPr>
        <w:ind w:left="1160" w:hanging="504"/>
        <w:spacing w:after="0" w:line="282" w:lineRule="auto"/>
        <w:tabs>
          <w:tab w:leader="none" w:pos="11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authorise a person to enter (on behalf of all the Members concerned) an agreement with the Company providing for either:</w:t>
      </w:r>
    </w:p>
    <w:p>
      <w:pPr>
        <w:spacing w:after="0" w:line="225" w:lineRule="exact"/>
        <w:rPr>
          <w:rFonts w:ascii="Times New Roman" w:cs="Times New Roman" w:eastAsia="Times New Roman" w:hAnsi="Times New Roman"/>
          <w:sz w:val="18"/>
          <w:szCs w:val="18"/>
          <w:color w:val="231F20"/>
        </w:rPr>
      </w:pPr>
    </w:p>
    <w:p>
      <w:pPr>
        <w:ind w:left="1660" w:right="20" w:hanging="356"/>
        <w:spacing w:after="0" w:line="282" w:lineRule="auto"/>
        <w:tabs>
          <w:tab w:leader="none" w:pos="1660" w:val="left"/>
        </w:tabs>
        <w:numPr>
          <w:ilvl w:val="1"/>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allotment to the Members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231F20"/>
        </w:rPr>
      </w:pPr>
    </w:p>
    <w:p>
      <w:pPr>
        <w:jc w:val="both"/>
        <w:ind w:left="1660" w:hanging="356"/>
        <w:spacing w:after="0" w:line="266" w:lineRule="auto"/>
        <w:tabs>
          <w:tab w:leader="none" w:pos="1660" w:val="left"/>
        </w:tabs>
        <w:numPr>
          <w:ilvl w:val="1"/>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payment by the Company on behalf of the Members (by the application of their respective operations of the reserves resolved to be capitalised) of the amounts or part of the amounts remaining unpaid on their existing shares, an agreement made under the authority being effective and binding on all those Members; and</w:t>
      </w:r>
    </w:p>
    <w:p>
      <w:pPr>
        <w:spacing w:after="0" w:line="17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generally do all acts and things required to give effect to the resolution.</w:t>
      </w:r>
    </w:p>
    <w:p>
      <w:pPr>
        <w:spacing w:after="0" w:line="225"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231F20"/>
        </w:rPr>
        <w:t>134A. 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6" w:lineRule="exact"/>
        <w:rPr>
          <w:sz w:val="20"/>
          <w:szCs w:val="20"/>
          <w:color w:val="auto"/>
        </w:rPr>
      </w:pPr>
    </w:p>
    <w:p>
      <w:pPr>
        <w:jc w:val="both"/>
        <w:ind w:left="1160" w:hanging="504"/>
        <w:spacing w:after="0" w:line="266" w:lineRule="auto"/>
        <w:tabs>
          <w:tab w:leader="none" w:pos="11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1160" w:hanging="504"/>
        <w:spacing w:after="0" w:line="261" w:lineRule="auto"/>
        <w:tabs>
          <w:tab w:leader="none" w:pos="116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depositary of the Company for the purposes of the issue, allotment and delivery by the depositary of American depositary shares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NOTICES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as otherwise provided in these Articles, any notice or document, including any Corporate Communication, may be served by the Company or by the person entitled to give notice to any Member in any of the following manner to the extent permitted by, and in compliance with the requirements of, the Hong Kong Listing Rules and any other applicable laws or regulations:</w:t>
      </w:r>
    </w:p>
    <w:p>
      <w:pPr>
        <w:spacing w:after="0" w:line="17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personally by leaving it at the registered address of such Member as appearing in the Register of Members;</w:t>
      </w:r>
    </w:p>
    <w:p>
      <w:pPr>
        <w:spacing w:after="0" w:line="22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facsimile or by sending it through the post in a prepaid letter or via a recognised courier service, fees prepaid, addressed to the Member at his address as appearing in the Register of Members (which shall be sent by airmail where the notice or document is posted from one country to another);</w:t>
      </w:r>
    </w:p>
    <w:p>
      <w:pPr>
        <w:spacing w:after="0" w:line="17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electronic means by transmitting it to any electronic number or address or website supplied by the Member to the Company;</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placing it on the Company’s Website and the Exchange’s website; or</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case of notice) by advertisement published in the manner prescribed in the Hong Kong Listing Rules.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231F20"/>
        </w:rPr>
        <w:t>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62"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Notices posted to addresses outside the Cayman Islands shall be forwarded by prepaid airmail.</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Member Present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notice or other document, including any Corporate Communication:</w:t>
      </w:r>
    </w:p>
    <w:p>
      <w:pPr>
        <w:spacing w:after="0" w:line="22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delivered personally or left at a registered address otherwise than by post shall be deemed to have been served on the day it was so deliver or left;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1160" w:hanging="504"/>
        <w:spacing w:after="0" w:line="261" w:lineRule="auto"/>
        <w:tabs>
          <w:tab w:leader="none" w:pos="116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served by post shall be deemed to have been served five calendar days after the time when the letter containing the same is posted and if served by courier, shall be deemed to have been served five calendar days after the time when the letter containing the same is delivered to the courier (in proving such service it shall be sufficient to prove that the letter containing the notice or document was properly addressed and duly posted or delivered to the courier);</w:t>
      </w:r>
    </w:p>
    <w:p>
      <w:pPr>
        <w:spacing w:after="0" w:line="179"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served by facsimile, shall be deemed to have been served upon confirmation of receipt;</w:t>
      </w:r>
    </w:p>
    <w:p>
      <w:pPr>
        <w:spacing w:after="0" w:line="22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served by recognised delivery service, shall be deemed to have been served 48 hours after the time when the letter containing the same is delivered to the courier service and in proving such service it shall be sufficient to prove that the letter containing the notice or documents was properly addressed and duly posted or delivered to the courier;</w:t>
      </w:r>
    </w:p>
    <w:p>
      <w:pPr>
        <w:spacing w:after="0" w:line="175" w:lineRule="exact"/>
        <w:rPr>
          <w:rFonts w:ascii="Times New Roman" w:cs="Times New Roman" w:eastAsia="Times New Roman" w:hAnsi="Times New Roman"/>
          <w:sz w:val="18"/>
          <w:szCs w:val="18"/>
          <w:color w:val="231F20"/>
        </w:rPr>
      </w:pPr>
    </w:p>
    <w:p>
      <w:pPr>
        <w:jc w:val="both"/>
        <w:ind w:left="1160" w:hanging="504"/>
        <w:spacing w:after="0" w:line="266" w:lineRule="auto"/>
        <w:tabs>
          <w:tab w:leader="none" w:pos="116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given by electronic means as provided herein shall be deemed to have been served and delivered on the day following that on which it is successfully transmitted or at such later time as may be prescribed by the Hong Kong Listing Rules and any other applicable laws or regulations;</w:t>
      </w:r>
    </w:p>
    <w:p>
      <w:pPr>
        <w:spacing w:after="0" w:line="175" w:lineRule="exact"/>
        <w:rPr>
          <w:rFonts w:ascii="Times New Roman" w:cs="Times New Roman" w:eastAsia="Times New Roman" w:hAnsi="Times New Roman"/>
          <w:sz w:val="18"/>
          <w:szCs w:val="18"/>
          <w:color w:val="231F20"/>
        </w:rPr>
      </w:pPr>
    </w:p>
    <w:p>
      <w:pPr>
        <w:jc w:val="both"/>
        <w:ind w:left="1140" w:hanging="484"/>
        <w:spacing w:after="0" w:line="266" w:lineRule="auto"/>
        <w:tabs>
          <w:tab w:leader="none" w:pos="114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served by being placed on the Company’s Website and the Exchange’s website shall be deemed to be served at the time the notice or document first appears on the Company’s Website and the Exchange’s website, or at such later time as may be prescribed by the Hong Kong Listing Rules; and</w:t>
      </w:r>
    </w:p>
    <w:p>
      <w:pPr>
        <w:spacing w:after="0" w:line="17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served by advertisement shall be deemed to have been served on the day of issue of the official publication and/or newspaper(s) in which the advertisement is published (or on the last day of issue if the publication and/or newspaper(s) are published on different dates).</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58" w:lineRule="auto"/>
        <w:tabs>
          <w:tab w:leader="none" w:pos="64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83"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Notice of every general meeting shall be given to:</w:t>
      </w:r>
    </w:p>
    <w:p>
      <w:pPr>
        <w:spacing w:after="0" w:line="225"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Members who have supplied to the Company an address for the giving of notices to them;</w:t>
      </w:r>
    </w:p>
    <w:p>
      <w:pPr>
        <w:spacing w:after="0" w:line="225" w:lineRule="exact"/>
        <w:rPr>
          <w:rFonts w:ascii="Times New Roman" w:cs="Times New Roman" w:eastAsia="Times New Roman" w:hAnsi="Times New Roman"/>
          <w:sz w:val="18"/>
          <w:szCs w:val="18"/>
          <w:color w:val="231F20"/>
        </w:rPr>
      </w:pPr>
    </w:p>
    <w:p>
      <w:pPr>
        <w:ind w:left="1160" w:right="20" w:hanging="504"/>
        <w:spacing w:after="0" w:line="282" w:lineRule="auto"/>
        <w:tabs>
          <w:tab w:leader="none" w:pos="1160" w:val="left"/>
        </w:tabs>
        <w:numPr>
          <w:ilvl w:val="1"/>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person entitled to a share in consequence of the death or bankruptcy of a Member, who but for his death or bankruptcy would be entitled to receive notice of the meeting; and</w:t>
      </w:r>
    </w:p>
    <w:p>
      <w:pPr>
        <w:spacing w:after="0" w:line="161" w:lineRule="exact"/>
        <w:rPr>
          <w:rFonts w:ascii="Times New Roman" w:cs="Times New Roman" w:eastAsia="Times New Roman" w:hAnsi="Times New Roman"/>
          <w:sz w:val="18"/>
          <w:szCs w:val="18"/>
          <w:color w:val="231F20"/>
        </w:rPr>
      </w:pPr>
    </w:p>
    <w:p>
      <w:pPr>
        <w:ind w:left="1160" w:hanging="504"/>
        <w:spacing w:after="0"/>
        <w:tabs>
          <w:tab w:leader="none" w:pos="1160" w:val="left"/>
        </w:tabs>
        <w:numPr>
          <w:ilvl w:val="1"/>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Director and Alternate Director.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No other person shall be entitled to receive notices of general meetings.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231F20"/>
        </w:rPr>
        <w:t>INFORMATION</w:t>
      </w:r>
    </w:p>
    <w:p>
      <w:pPr>
        <w:spacing w:after="0" w:line="229" w:lineRule="exact"/>
        <w:rPr>
          <w:sz w:val="20"/>
          <w:szCs w:val="20"/>
          <w:color w:val="auto"/>
        </w:rPr>
      </w:pPr>
    </w:p>
    <w:p>
      <w:pPr>
        <w:jc w:val="both"/>
        <w:ind w:left="640" w:hanging="632"/>
        <w:spacing w:after="0" w:line="266" w:lineRule="auto"/>
        <w:tabs>
          <w:tab w:leader="none" w:pos="64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INDEMNITY</w:t>
      </w:r>
    </w:p>
    <w:p>
      <w:pPr>
        <w:spacing w:after="0" w:line="229" w:lineRule="exact"/>
        <w:rPr>
          <w:sz w:val="20"/>
          <w:szCs w:val="20"/>
          <w:color w:val="auto"/>
        </w:rPr>
      </w:pPr>
    </w:p>
    <w:p>
      <w:pPr>
        <w:jc w:val="both"/>
        <w:ind w:left="640" w:hanging="632"/>
        <w:spacing w:after="0" w:line="256" w:lineRule="auto"/>
        <w:tabs>
          <w:tab w:leader="none" w:pos="64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187"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such Director or officer of the Company shall be liable to the Company for any loss or damage unless such liability arises through the willful neglect or default of such Director or officer.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FINANCIAL YEAR</w:t>
      </w:r>
    </w:p>
    <w:p>
      <w:pPr>
        <w:spacing w:after="0" w:line="229" w:lineRule="exact"/>
        <w:rPr>
          <w:sz w:val="20"/>
          <w:szCs w:val="20"/>
          <w:color w:val="auto"/>
        </w:rPr>
      </w:pPr>
    </w:p>
    <w:p>
      <w:pPr>
        <w:ind w:left="640" w:hanging="632"/>
        <w:spacing w:after="0" w:line="282" w:lineRule="auto"/>
        <w:tabs>
          <w:tab w:leader="none" w:pos="64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the Directors otherwise prescribe, the financial year of the Company shall end on December 31st in each year and shall begin on January 1st in each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WINDING UP</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231F20"/>
        </w:rPr>
        <w:t>146A.</w:t>
        <w:tab/>
        <w:t>Subject to the Companies Act, the Company may by special resolution resolve that the Company be wound up voluntarily.</w:t>
      </w:r>
    </w:p>
    <w:p>
      <w:pPr>
        <w:spacing w:after="0" w:line="225" w:lineRule="exact"/>
        <w:rPr>
          <w:sz w:val="20"/>
          <w:szCs w:val="20"/>
          <w:color w:val="auto"/>
        </w:rPr>
      </w:pPr>
    </w:p>
    <w:p>
      <w:pPr>
        <w:jc w:val="both"/>
        <w:ind w:left="640" w:hanging="639"/>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231F20"/>
        </w:rPr>
        <w:t>146B.</w:t>
        <w:tab/>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AMENDMENT OF MEMORANDUM AND ARTICLES OF ASSOCIATION AND NAME OF COMPANY</w:t>
      </w:r>
    </w:p>
    <w:p>
      <w:pPr>
        <w:spacing w:after="0" w:line="229" w:lineRule="exact"/>
        <w:rPr>
          <w:sz w:val="20"/>
          <w:szCs w:val="20"/>
          <w:color w:val="auto"/>
        </w:rPr>
      </w:pPr>
    </w:p>
    <w:p>
      <w:pPr>
        <w:ind w:left="640" w:right="20" w:hanging="632"/>
        <w:spacing w:after="0" w:line="282" w:lineRule="auto"/>
        <w:tabs>
          <w:tab w:leader="none" w:pos="64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at any time and from time to time by Special Resolution alter or amend these Articles or the Memorandum of Association of the Company, in whole or in part.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REGISTRATION BY WAY OF CONTINUATION</w:t>
      </w:r>
    </w:p>
    <w:p>
      <w:pPr>
        <w:spacing w:after="0" w:line="229" w:lineRule="exact"/>
        <w:rPr>
          <w:sz w:val="20"/>
          <w:szCs w:val="20"/>
          <w:color w:val="auto"/>
        </w:rPr>
      </w:pPr>
    </w:p>
    <w:p>
      <w:pPr>
        <w:jc w:val="both"/>
        <w:ind w:left="640" w:hanging="632"/>
        <w:spacing w:after="0" w:line="258" w:lineRule="auto"/>
        <w:tabs>
          <w:tab w:leader="none" w:pos="64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by Ordinary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 Announces Results of Annual General Meeting and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Dividend and Special Dividend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11, 2026 /PRNewswire/ -- Noah Holdings Limited (“Noah” or the “Company”) (NYSE: NOAH and HKEX: 6686), a leading and pioneer wealth management service provider offering comprehensive one-stop advisory services on global investment and asset allocation primarily for global Chinese high-net-worth investors, today announced that its annual general meeting (the “AGM”) was held in Hong Kong on June 11, 2026 and that all the proposed resolutions submitted for shareholders’ approval as set forth in the notice of the AGM dated April 30, 2026 were duly passed at the AGM.</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announced that it will distribute (i) a final dividend of RMB306.0 million (approximately US$45.2 million based on the latest exchange rates available as of the date of this announcement) in aggregate (with a distribution ratio of RMB0.933 (equivalent to approximately US$0.138, or approximately HK$1.073) per share (tax inclusive)) in respect of the year ended December 31, 2025; and (ii) a special dividend of RMB306.0 million (approximately US$45.2 million) in aggregate (with a distribution ratio of RMB0.933 (equivalent to approximately US$0.138, or approximately HK$1.073) per share (tax inclusive)), to shareholders whose names appear on the register of members of the Company as of the close of business on July 9, 2026 (the “Dividend Record Date”). The distribution ratio per share is subject to adjustment to the number of shares of the Company entitled to dividend distribution as of the Dividend Record Date and the equivalent U.S. dollars amount and Hong Kong dollars amount are also subject to exchange rate adjustment. The Company will make further announcement in respect of the final rate of final payment in U.S. dollars (for ADS holders and for holders of ordinary shares whose shares registered on the Company’s principal share register in the Cayman Islands) and in Hong Kong dollars (for registered holders of the ordinary shares whose shares registered on the Company’s Hong Kong share register in Hong Kong) on or immediately after the Dividend Record Date and in accordance with the Company’s memorandum and articles of association, the Hong Kong Listing Rules, and applicable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NOAH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Noah Holdings Limited (NYSE: NOAH and HKEX: 6686) is a leading and pioneer wealth management service provider offering comprehensive one-stop advisory services on global investment and asset allocation primarily for global Chinese high-net-worth investors. Noah’s American depositary shares, or ADSs, are listed on the New York Stock Exchange under the symbol “NOAH,” and its shares are listed on the main board of the Hong Kong Stock Exchange under the stock code “6686.” One ADS represents five ordinary shares, par value $0.00005 per share.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Noah distributed RMB23.3 billion (US$3.4 billion) of investment products. Through Gopher Asset Management and Olive Asset Management, Noah had assets under management of RMB140.2 billion (US$20.3 billion) as of March 31,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2005, the firm pioneered a business model combining wealth management and asset management and has continued to build its international platform over the years. As of March 31, 2026, Noah had 468,983 registered clients. The Group reports its operations under six business segments — Domestic public securities (Noah Upright), Domestic asset management (Gopher Asset Management), Domestic insurance (Glory), Overseas wealth management (ARK Wealth Management), Overseas asset management (Olive Asset Management), and Overseas insurance and comprehensive services (Glory Family Heritage) — plus headquarters. As of March 31, 2026, Noah had established branches and service capabilities across mainland China, Hong Kong, Singapore, Japan, and key U.S. markets, including New York, Los Angeles, and Silicon Valley, reflecting its international operating footprint.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Noah’s investor relations website at ir.noahgroup.com.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reports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globally and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Noah Holdings Private Wealth and Asset Management Limited</w:t>
      </w:r>
    </w:p>
    <w:p>
      <w:pPr>
        <w:spacing w:after="0" w:line="34"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shd w:val="clear" w:color="auto" w:fill="231F20"/>
        </w:rPr>
        <w:t>諾 亞 控 股 私 人 財 富 資 產 管 理 有 限 公 司</w:t>
      </w:r>
    </w:p>
    <w:p>
      <w:pPr>
        <w:spacing w:after="0" w:line="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i w:val="1"/>
          <w:iCs w:val="1"/>
          <w:color w:val="231F20"/>
        </w:rPr>
        <w:t xml:space="preserve">(Incorporated in the Cayman Islands with limited liability under the name Noah Holdings Limited and carrying on business in Hong Kong as Noah Holdings Private Wealth and Asset Management Limited) </w:t>
      </w:r>
      <w:r>
        <w:rPr>
          <w:rFonts w:ascii="Times New Roman" w:cs="Times New Roman" w:eastAsia="Times New Roman" w:hAnsi="Times New Roman"/>
          <w:sz w:val="18"/>
          <w:szCs w:val="18"/>
          <w:b w:val="1"/>
          <w:bCs w:val="1"/>
          <w:color w:val="231F20"/>
        </w:rPr>
        <w:t>(NYSE Ticker Symbol: NOAH; HKEX Stock Code: 6686)</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1F20"/>
        </w:rPr>
        <w:t>POLL RESULTS OF THE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HELD ON JUNE 11,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PAYMENT OF FINAL DIVIDEND AND SPECIAL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36130" cy="2498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498725"/>
                    </a:xfrm>
                    <a:prstGeom prst="rect">
                      <a:avLst/>
                    </a:prstGeom>
                    <a:noFill/>
                  </pic:spPr>
                </pic:pic>
              </a:graphicData>
            </a:graphic>
          </wp:anchor>
        </w:drawing>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POLL RESULTS OF THE AGM</w:t>
      </w:r>
    </w:p>
    <w:p>
      <w:pPr>
        <w:spacing w:after="0" w:line="229"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231F20"/>
        </w:rPr>
        <w:t>The Board announces that all the resolutions as set out in the Notice were duly passed by the Shareholders as ordinary resolutions or special resolutions by way of poll at the AGM.</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PAYMENT OF FINAL DIVIDEND AND SPECIAL DIVIDEND</w:t>
      </w:r>
    </w:p>
    <w:p>
      <w:pPr>
        <w:spacing w:after="0" w:line="229" w:lineRule="exact"/>
        <w:rPr>
          <w:sz w:val="20"/>
          <w:szCs w:val="20"/>
          <w:color w:val="auto"/>
        </w:rPr>
      </w:pPr>
    </w:p>
    <w:p>
      <w:pPr>
        <w:jc w:val="both"/>
        <w:ind w:left="120" w:right="120"/>
        <w:spacing w:after="0" w:line="254" w:lineRule="auto"/>
        <w:rPr>
          <w:sz w:val="20"/>
          <w:szCs w:val="20"/>
          <w:color w:val="auto"/>
        </w:rPr>
      </w:pPr>
      <w:r>
        <w:rPr>
          <w:rFonts w:ascii="Times New Roman" w:cs="Times New Roman" w:eastAsia="Times New Roman" w:hAnsi="Times New Roman"/>
          <w:sz w:val="18"/>
          <w:szCs w:val="18"/>
          <w:color w:val="231F20"/>
        </w:rPr>
        <w:t>The Board is pleased to announce that the Company will distribute (i) Final Dividend of RMB306.0 million (approximately US$45.2 million based on the latest exchange rates available as of the date of this announcement) in aggregate (with a distribution ratio of RMB0.933 (equivalent to approximately US$0.138, or approximately HK$1.073 based on the latest exchange rates available as of the date of this announcement) per share (tax inclusive)) in respect of the year ended December 31, 2025; and (ii) Special Dividend of RMB306.0 million (approximately US$45.2 million based on the latest exchange rates available as of the date of this announcement) in aggregate (with a distribution ratio of RMB0.933 (equivalent to approximately US$0.138, or approximately HK$1.073 based on the latest exchange rates available as of the date of this announcement) per share (tax inclusive)), to Shareholders whose names appear on the register of members of the Company as of the close of business on July 9, 2026 (the “</w:t>
      </w:r>
      <w:r>
        <w:rPr>
          <w:rFonts w:ascii="Times New Roman" w:cs="Times New Roman" w:eastAsia="Times New Roman" w:hAnsi="Times New Roman"/>
          <w:sz w:val="18"/>
          <w:szCs w:val="18"/>
          <w:b w:val="1"/>
          <w:bCs w:val="1"/>
          <w:color w:val="231F20"/>
        </w:rPr>
        <w:t>Dividend Record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Date</w:t>
      </w:r>
      <w:r>
        <w:rPr>
          <w:rFonts w:ascii="Times New Roman" w:cs="Times New Roman" w:eastAsia="Times New Roman" w:hAnsi="Times New Roman"/>
          <w:sz w:val="18"/>
          <w:szCs w:val="18"/>
          <w:color w:val="231F20"/>
        </w:rPr>
        <w:t>”). The distribution ratio per share is subject to adjustment to the number of shares of the Company entitled to dividend distribution as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Dividend Record Date and the equivalent U.S. dollars amount and Hong Kong dollars amount are also subject to exchange rate adjustment.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Reference is made to the Company’s circular (the “</w:t>
      </w:r>
      <w:r>
        <w:rPr>
          <w:rFonts w:ascii="Times New Roman" w:cs="Times New Roman" w:eastAsia="Times New Roman" w:hAnsi="Times New Roman"/>
          <w:sz w:val="18"/>
          <w:szCs w:val="18"/>
          <w:b w:val="1"/>
          <w:bCs w:val="1"/>
          <w:color w:val="231F20"/>
        </w:rPr>
        <w:t>Circular</w:t>
      </w:r>
      <w:r>
        <w:rPr>
          <w:rFonts w:ascii="Times New Roman" w:cs="Times New Roman" w:eastAsia="Times New Roman" w:hAnsi="Times New Roman"/>
          <w:sz w:val="18"/>
          <w:szCs w:val="18"/>
          <w:color w:val="231F20"/>
        </w:rPr>
        <w:t>”) in connection with the AGM and notice of the AGM (the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 dated April 30,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Unless the context requires otherwise, capitalized terms used in this announcement shall have the same meanings as those defined in the Circular.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left="632" w:hanging="632"/>
        <w:spacing w:after="0"/>
        <w:tabs>
          <w:tab w:leader="none" w:pos="632" w:val="left"/>
        </w:tabs>
        <w:numPr>
          <w:ilvl w:val="0"/>
          <w:numId w:val="7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POLL RESULTS OF THE ANNUAL GENERAL MEETING HELD ON JUNE 11, 2026</w:t>
      </w:r>
    </w:p>
    <w:p>
      <w:pPr>
        <w:spacing w:after="0" w:line="225" w:lineRule="exact"/>
        <w:rPr>
          <w:rFonts w:ascii="Times New Roman" w:cs="Times New Roman" w:eastAsia="Times New Roman" w:hAnsi="Times New Roman"/>
          <w:sz w:val="18"/>
          <w:szCs w:val="18"/>
          <w:b w:val="1"/>
          <w:bCs w:val="1"/>
          <w:color w:val="231F20"/>
        </w:rPr>
      </w:pPr>
    </w:p>
    <w:p>
      <w:pPr>
        <w:jc w:val="both"/>
        <w:ind w:left="652"/>
        <w:spacing w:after="0" w:line="29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7"/>
          <w:szCs w:val="17"/>
          <w:color w:val="231F20"/>
        </w:rPr>
        <w:t>The board of directors (the “</w:t>
      </w:r>
      <w:r>
        <w:rPr>
          <w:rFonts w:ascii="Times New Roman" w:cs="Times New Roman" w:eastAsia="Times New Roman" w:hAnsi="Times New Roman"/>
          <w:sz w:val="17"/>
          <w:szCs w:val="17"/>
          <w:b w:val="1"/>
          <w:bCs w:val="1"/>
          <w:color w:val="231F20"/>
        </w:rPr>
        <w:t>Board</w:t>
      </w:r>
      <w:r>
        <w:rPr>
          <w:rFonts w:ascii="Times New Roman" w:cs="Times New Roman" w:eastAsia="Times New Roman" w:hAnsi="Times New Roman"/>
          <w:sz w:val="17"/>
          <w:szCs w:val="17"/>
          <w:color w:val="231F20"/>
        </w:rPr>
        <w:t>”) of Noah Holdings Private Wealth and Asset Management Limited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is pleased to announce the poll results of the annual general meeting of the Company (the “</w:t>
      </w:r>
      <w:r>
        <w:rPr>
          <w:rFonts w:ascii="Times New Roman" w:cs="Times New Roman" w:eastAsia="Times New Roman" w:hAnsi="Times New Roman"/>
          <w:sz w:val="17"/>
          <w:szCs w:val="17"/>
          <w:b w:val="1"/>
          <w:bCs w:val="1"/>
          <w:color w:val="231F20"/>
        </w:rPr>
        <w:t>AGM</w:t>
      </w:r>
      <w:r>
        <w:rPr>
          <w:rFonts w:ascii="Times New Roman" w:cs="Times New Roman" w:eastAsia="Times New Roman" w:hAnsi="Times New Roman"/>
          <w:sz w:val="17"/>
          <w:szCs w:val="17"/>
          <w:color w:val="231F20"/>
        </w:rPr>
        <w:t>”) held at 34/F, Tower Two, Times Square, 1 Matheson Street, Causeway Bay, Hong Kong on Thursday, June 11, 2026 at 9:00 a.m. Hong Kong time (or 9:00 p.m. on Wednesday, June 10, 2026, New York time).</w:t>
      </w:r>
    </w:p>
    <w:p>
      <w:pPr>
        <w:spacing w:after="0" w:line="156" w:lineRule="exact"/>
        <w:rPr>
          <w:rFonts w:ascii="Times New Roman" w:cs="Times New Roman" w:eastAsia="Times New Roman" w:hAnsi="Times New Roman"/>
          <w:sz w:val="18"/>
          <w:szCs w:val="18"/>
          <w:b w:val="1"/>
          <w:bCs w:val="1"/>
          <w:color w:val="231F20"/>
        </w:rPr>
      </w:pPr>
    </w:p>
    <w:p>
      <w:pPr>
        <w:ind w:left="652"/>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voting results in respect of the resolutions proposed at the AGM were as follows:</w:t>
      </w:r>
    </w:p>
    <w:p>
      <w:pPr>
        <w:spacing w:after="0" w:line="200" w:lineRule="exact"/>
        <w:rPr>
          <w:sz w:val="20"/>
          <w:szCs w:val="20"/>
          <w:color w:val="auto"/>
        </w:rPr>
      </w:pPr>
    </w:p>
    <w:p>
      <w:pPr>
        <w:spacing w:after="0" w:line="266" w:lineRule="exact"/>
        <w:rPr>
          <w:sz w:val="20"/>
          <w:szCs w:val="20"/>
          <w:color w:val="auto"/>
        </w:rPr>
      </w:pPr>
    </w:p>
    <w:tbl>
      <w:tblPr>
        <w:tblLayout w:type="fixed"/>
        <w:tblInd w:w="682" w:type="dxa"/>
        <w:tblCellMar>
          <w:top w:w="0" w:type="dxa"/>
          <w:left w:w="0" w:type="dxa"/>
          <w:bottom w:w="0" w:type="dxa"/>
          <w:right w:w="0" w:type="dxa"/>
        </w:tblCellMar>
      </w:tblPr>
      <w:tr>
        <w:trPr>
          <w:trHeight w:val="257"/>
        </w:trPr>
        <w:tc>
          <w:tcPr>
            <w:tcW w:w="360" w:type="dxa"/>
            <w:vAlign w:val="bottom"/>
            <w:tcBorders>
              <w:top w:val="single" w:sz="8" w:color="231F20"/>
              <w:left w:val="single" w:sz="8" w:color="231F20"/>
            </w:tcBorders>
          </w:tcPr>
          <w:p>
            <w:pPr>
              <w:spacing w:after="0"/>
              <w:rPr>
                <w:sz w:val="22"/>
                <w:szCs w:val="22"/>
                <w:color w:val="auto"/>
              </w:rPr>
            </w:pPr>
          </w:p>
        </w:tc>
        <w:tc>
          <w:tcPr>
            <w:tcW w:w="440" w:type="dxa"/>
            <w:vAlign w:val="bottom"/>
            <w:tcBorders>
              <w:top w:val="single" w:sz="8" w:color="231F20"/>
            </w:tcBorders>
          </w:tcPr>
          <w:p>
            <w:pPr>
              <w:spacing w:after="0"/>
              <w:rPr>
                <w:sz w:val="22"/>
                <w:szCs w:val="22"/>
                <w:color w:val="auto"/>
              </w:rPr>
            </w:pPr>
          </w:p>
        </w:tc>
        <w:tc>
          <w:tcPr>
            <w:tcW w:w="420" w:type="dxa"/>
            <w:vAlign w:val="bottom"/>
            <w:tcBorders>
              <w:top w:val="single" w:sz="8" w:color="231F20"/>
            </w:tcBorders>
          </w:tcPr>
          <w:p>
            <w:pPr>
              <w:spacing w:after="0"/>
              <w:rPr>
                <w:sz w:val="22"/>
                <w:szCs w:val="22"/>
                <w:color w:val="auto"/>
              </w:rPr>
            </w:pPr>
          </w:p>
        </w:tc>
        <w:tc>
          <w:tcPr>
            <w:tcW w:w="5980" w:type="dxa"/>
            <w:vAlign w:val="bottom"/>
            <w:tcBorders>
              <w:top w:val="single" w:sz="8" w:color="231F20"/>
              <w:right w:val="single" w:sz="8" w:color="231F20"/>
            </w:tcBorders>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500" w:type="dxa"/>
            <w:vAlign w:val="bottom"/>
            <w:tcBorders>
              <w:top w:val="single" w:sz="8" w:color="231F20"/>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231F20"/>
                <w:w w:val="99"/>
              </w:rPr>
              <w:t>Number of Votes (%)</w:t>
            </w:r>
          </w:p>
        </w:tc>
        <w:tc>
          <w:tcPr>
            <w:tcW w:w="860" w:type="dxa"/>
            <w:vAlign w:val="bottom"/>
            <w:tcBorders>
              <w:top w:val="single" w:sz="8" w:color="231F20"/>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980" w:type="dxa"/>
            <w:vAlign w:val="bottom"/>
            <w:tcBorders>
              <w:bottom w:val="single" w:sz="8" w:color="231F20"/>
              <w:right w:val="single" w:sz="8" w:color="231F20"/>
            </w:tcBorders>
            <w:vMerge w:val="continue"/>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0" w:type="dxa"/>
            <w:vAlign w:val="bottom"/>
            <w:tcBorders>
              <w:left w:val="single" w:sz="8" w:color="231F20"/>
            </w:tcBorders>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980" w:type="dxa"/>
            <w:vAlign w:val="bottom"/>
            <w:tcBorders>
              <w:right w:val="single" w:sz="8" w:color="231F20"/>
            </w:tcBorders>
            <w:vMerge w:val="continue"/>
          </w:tcPr>
          <w:p>
            <w:pPr>
              <w:spacing w:after="0"/>
              <w:rPr>
                <w:sz w:val="5"/>
                <w:szCs w:val="5"/>
                <w:color w:val="auto"/>
              </w:rPr>
            </w:pPr>
          </w:p>
        </w:tc>
        <w:tc>
          <w:tcPr>
            <w:tcW w:w="12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For</w:t>
            </w:r>
          </w:p>
        </w:tc>
        <w:tc>
          <w:tcPr>
            <w:tcW w:w="1220" w:type="dxa"/>
            <w:vAlign w:val="bottom"/>
            <w:tcBorders>
              <w:right w:val="single" w:sz="8" w:color="231F20"/>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60" w:type="dxa"/>
            <w:vAlign w:val="bottom"/>
          </w:tcPr>
          <w:p>
            <w:pPr>
              <w:spacing w:after="0"/>
              <w:rPr>
                <w:sz w:val="5"/>
                <w:szCs w:val="5"/>
                <w:color w:val="auto"/>
              </w:rPr>
            </w:pPr>
          </w:p>
        </w:tc>
        <w:tc>
          <w:tcPr>
            <w:tcW w:w="860" w:type="dxa"/>
            <w:vAlign w:val="bottom"/>
            <w:tcBorders>
              <w:right w:val="single" w:sz="8" w:color="231F20"/>
            </w:tcBorders>
            <w:vMerge w:val="restart"/>
          </w:tcPr>
          <w:p>
            <w:pPr>
              <w:jc w:val="center"/>
              <w:spacing w:after="0" w:line="303" w:lineRule="exact"/>
              <w:rPr>
                <w:sz w:val="20"/>
                <w:szCs w:val="20"/>
                <w:color w:val="auto"/>
              </w:rPr>
            </w:pPr>
            <w:r>
              <w:rPr>
                <w:rFonts w:ascii="Times New Roman" w:cs="Times New Roman" w:eastAsia="Times New Roman" w:hAnsi="Times New Roman"/>
                <w:sz w:val="18"/>
                <w:szCs w:val="18"/>
                <w:b w:val="1"/>
                <w:bCs w:val="1"/>
                <w:color w:val="231F20"/>
                <w:w w:val="97"/>
              </w:rPr>
              <w:t>Abstain</w:t>
            </w:r>
            <w:r>
              <w:rPr>
                <w:rFonts w:ascii="Times New Roman" w:cs="Times New Roman" w:eastAsia="Times New Roman" w:hAnsi="Times New Roman"/>
                <w:sz w:val="29"/>
                <w:szCs w:val="29"/>
                <w:b w:val="1"/>
                <w:bCs w:val="1"/>
                <w:color w:val="231F20"/>
                <w:w w:val="97"/>
                <w:vertAlign w:val="superscript"/>
              </w:rPr>
              <w:t>1</w:t>
            </w:r>
          </w:p>
        </w:tc>
        <w:tc>
          <w:tcPr>
            <w:tcW w:w="0" w:type="dxa"/>
            <w:vAlign w:val="bottom"/>
          </w:tcPr>
          <w:p>
            <w:pPr>
              <w:spacing w:after="0"/>
              <w:rPr>
                <w:sz w:val="1"/>
                <w:szCs w:val="1"/>
                <w:color w:val="auto"/>
              </w:rPr>
            </w:pPr>
          </w:p>
        </w:tc>
      </w:tr>
      <w:tr>
        <w:trPr>
          <w:trHeight w:val="243"/>
        </w:trPr>
        <w:tc>
          <w:tcPr>
            <w:tcW w:w="360" w:type="dxa"/>
            <w:vAlign w:val="bottom"/>
            <w:tcBorders>
              <w:left w:val="single" w:sz="8" w:color="231F20"/>
              <w:bottom w:val="single" w:sz="8" w:color="231F20"/>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5980" w:type="dxa"/>
            <w:vAlign w:val="bottom"/>
            <w:tcBorders>
              <w:bottom w:val="single" w:sz="8" w:color="231F20"/>
              <w:right w:val="single" w:sz="8" w:color="231F20"/>
            </w:tcBorders>
          </w:tcPr>
          <w:p>
            <w:pPr>
              <w:spacing w:after="0"/>
              <w:rPr>
                <w:sz w:val="21"/>
                <w:szCs w:val="21"/>
                <w:color w:val="auto"/>
              </w:rPr>
            </w:pPr>
          </w:p>
        </w:tc>
        <w:tc>
          <w:tcPr>
            <w:tcW w:w="1220" w:type="dxa"/>
            <w:vAlign w:val="bottom"/>
            <w:tcBorders>
              <w:bottom w:val="single" w:sz="8" w:color="231F20"/>
              <w:right w:val="single" w:sz="8" w:color="231F20"/>
            </w:tcBorders>
            <w:vMerge w:val="continue"/>
          </w:tcPr>
          <w:p>
            <w:pPr>
              <w:spacing w:after="0"/>
              <w:rPr>
                <w:sz w:val="21"/>
                <w:szCs w:val="21"/>
                <w:color w:val="auto"/>
              </w:rPr>
            </w:pPr>
          </w:p>
        </w:tc>
        <w:tc>
          <w:tcPr>
            <w:tcW w:w="1220" w:type="dxa"/>
            <w:vAlign w:val="bottom"/>
            <w:tcBorders>
              <w:bottom w:val="single" w:sz="8" w:color="231F20"/>
              <w:right w:val="single" w:sz="8" w:color="231F20"/>
            </w:tcBorders>
            <w:vMerge w:val="continue"/>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right w:val="single" w:sz="8" w:color="231F20"/>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rPr>
              <w:t>1.</w:t>
            </w:r>
          </w:p>
        </w:tc>
        <w:tc>
          <w:tcPr>
            <w:tcW w:w="6840" w:type="dxa"/>
            <w:vAlign w:val="bottom"/>
            <w:tcBorders>
              <w:right w:val="single" w:sz="8" w:color="231F20"/>
            </w:tcBorders>
            <w:gridSpan w:val="3"/>
          </w:tcPr>
          <w:p>
            <w:pPr>
              <w:ind w:left="80"/>
              <w:spacing w:after="0"/>
              <w:rPr>
                <w:sz w:val="20"/>
                <w:szCs w:val="20"/>
                <w:color w:val="auto"/>
              </w:rPr>
            </w:pPr>
            <w:r>
              <w:rPr>
                <w:rFonts w:ascii="Times New Roman" w:cs="Times New Roman" w:eastAsia="Times New Roman" w:hAnsi="Times New Roman"/>
                <w:sz w:val="18"/>
                <w:szCs w:val="18"/>
                <w:color w:val="231F20"/>
              </w:rPr>
              <w:t>To receive and consider the audited consolidated financial statements of the Company and</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253,303,695</w:t>
            </w:r>
          </w:p>
        </w:tc>
        <w:tc>
          <w:tcPr>
            <w:tcW w:w="1220" w:type="dxa"/>
            <w:vAlign w:val="bottom"/>
            <w:tcBorders>
              <w:right w:val="single" w:sz="8" w:color="231F20"/>
            </w:tcBorders>
          </w:tcPr>
          <w:p>
            <w:pPr>
              <w:jc w:val="right"/>
              <w:ind w:right="350"/>
              <w:spacing w:after="0"/>
              <w:rPr>
                <w:sz w:val="20"/>
                <w:szCs w:val="20"/>
                <w:color w:val="auto"/>
              </w:rPr>
            </w:pPr>
            <w:r>
              <w:rPr>
                <w:rFonts w:ascii="Times New Roman" w:cs="Times New Roman" w:eastAsia="Times New Roman" w:hAnsi="Times New Roman"/>
                <w:sz w:val="18"/>
                <w:szCs w:val="18"/>
                <w:color w:val="auto"/>
              </w:rPr>
              <w:t>7,605</w:t>
            </w:r>
          </w:p>
        </w:tc>
        <w:tc>
          <w:tcPr>
            <w:tcW w:w="60" w:type="dxa"/>
            <w:vAlign w:val="bottom"/>
          </w:tcPr>
          <w:p>
            <w:pPr>
              <w:spacing w:after="0"/>
              <w:rPr>
                <w:sz w:val="18"/>
                <w:szCs w:val="18"/>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216,750</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6840" w:type="dxa"/>
            <w:vAlign w:val="bottom"/>
            <w:tcBorders>
              <w:right w:val="single" w:sz="8" w:color="231F20"/>
            </w:tcBorders>
            <w:gridSpan w:val="3"/>
          </w:tcPr>
          <w:p>
            <w:pPr>
              <w:ind w:left="80"/>
              <w:spacing w:after="0"/>
              <w:rPr>
                <w:sz w:val="20"/>
                <w:szCs w:val="20"/>
                <w:color w:val="auto"/>
              </w:rPr>
            </w:pPr>
            <w:r>
              <w:rPr>
                <w:rFonts w:ascii="Times New Roman" w:cs="Times New Roman" w:eastAsia="Times New Roman" w:hAnsi="Times New Roman"/>
                <w:sz w:val="18"/>
                <w:szCs w:val="18"/>
                <w:color w:val="231F20"/>
              </w:rPr>
              <w:t>the reports of the directors and auditor of the Company for the year ended December 31,</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(99.996998%)</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(0.003002%)</w:t>
            </w:r>
          </w:p>
        </w:tc>
        <w:tc>
          <w:tcPr>
            <w:tcW w:w="60" w:type="dxa"/>
            <w:vAlign w:val="bottom"/>
          </w:tcPr>
          <w:p>
            <w:pPr>
              <w:spacing w:after="0"/>
              <w:rPr>
                <w:sz w:val="18"/>
                <w:szCs w:val="18"/>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2025.</w:t>
            </w:r>
          </w:p>
        </w:tc>
        <w:tc>
          <w:tcPr>
            <w:tcW w:w="598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bottom w:val="single" w:sz="8" w:color="231F20"/>
              <w:right w:val="single" w:sz="8" w:color="231F20"/>
            </w:tcBorders>
          </w:tcPr>
          <w:p>
            <w:pPr>
              <w:spacing w:after="0"/>
              <w:rPr>
                <w:sz w:val="2"/>
                <w:szCs w:val="2"/>
                <w:color w:val="auto"/>
              </w:rPr>
            </w:pPr>
          </w:p>
        </w:tc>
        <w:tc>
          <w:tcPr>
            <w:tcW w:w="6840" w:type="dxa"/>
            <w:vAlign w:val="bottom"/>
            <w:tcBorders>
              <w:bottom w:val="single" w:sz="8" w:color="231F20"/>
              <w:right w:val="single" w:sz="8" w:color="231F20"/>
            </w:tcBorders>
            <w:gridSpan w:val="3"/>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rPr>
              <w:t>2.</w:t>
            </w:r>
          </w:p>
        </w:tc>
        <w:tc>
          <w:tcPr>
            <w:tcW w:w="4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w:t>
            </w:r>
          </w:p>
        </w:tc>
        <w:tc>
          <w:tcPr>
            <w:tcW w:w="6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231F20"/>
              </w:rPr>
              <w:t>To re-elect the following directors of the Company (the “</w:t>
            </w:r>
            <w:r>
              <w:rPr>
                <w:rFonts w:ascii="Times New Roman" w:cs="Times New Roman" w:eastAsia="Times New Roman" w:hAnsi="Times New Roman"/>
                <w:sz w:val="18"/>
                <w:szCs w:val="18"/>
                <w:b w:val="1"/>
                <w:bCs w:val="1"/>
                <w:color w:val="231F20"/>
              </w:rPr>
              <w:t>Directors</w:t>
            </w:r>
            <w:r>
              <w:rPr>
                <w:rFonts w:ascii="Times New Roman" w:cs="Times New Roman" w:eastAsia="Times New Roman" w:hAnsi="Times New Roman"/>
                <w:sz w:val="18"/>
                <w:szCs w:val="18"/>
                <w:color w:val="231F20"/>
              </w:rPr>
              <w:t>”):</w:t>
            </w:r>
          </w:p>
        </w:tc>
        <w:tc>
          <w:tcPr>
            <w:tcW w:w="122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tcPr>
          <w:p>
            <w:pPr>
              <w:spacing w:after="0"/>
              <w:rPr>
                <w:sz w:val="2"/>
                <w:szCs w:val="2"/>
                <w:color w:val="auto"/>
              </w:rPr>
            </w:pPr>
          </w:p>
        </w:tc>
        <w:tc>
          <w:tcPr>
            <w:tcW w:w="440" w:type="dxa"/>
            <w:vAlign w:val="bottom"/>
            <w:tcBorders>
              <w:right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598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spacing w:after="0"/>
              <w:rPr>
                <w:sz w:val="18"/>
                <w:szCs w:val="18"/>
                <w:color w:val="auto"/>
              </w:rPr>
            </w:pPr>
          </w:p>
        </w:tc>
        <w:tc>
          <w:tcPr>
            <w:tcW w:w="440" w:type="dxa"/>
            <w:vAlign w:val="bottom"/>
            <w:tcBorders>
              <w:right w:val="single" w:sz="8" w:color="231F20"/>
            </w:tcBorders>
          </w:tcPr>
          <w:p>
            <w:pPr>
              <w:spacing w:after="0"/>
              <w:rPr>
                <w:sz w:val="18"/>
                <w:szCs w:val="18"/>
                <w:color w:val="auto"/>
              </w:rPr>
            </w:pPr>
          </w:p>
        </w:tc>
        <w:tc>
          <w:tcPr>
            <w:tcW w:w="4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(i)</w:t>
            </w:r>
          </w:p>
        </w:tc>
        <w:tc>
          <w:tcPr>
            <w:tcW w:w="598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Ms. Chia-Yue Chang, to serve as a non-executive Director, subject to her earlier</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251,373,800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2,087,940</w:t>
            </w:r>
          </w:p>
        </w:tc>
        <w:tc>
          <w:tcPr>
            <w:tcW w:w="60" w:type="dxa"/>
            <w:vAlign w:val="bottom"/>
          </w:tcPr>
          <w:p>
            <w:pPr>
              <w:spacing w:after="0"/>
              <w:rPr>
                <w:sz w:val="18"/>
                <w:szCs w:val="18"/>
                <w:color w:val="auto"/>
              </w:rPr>
            </w:pPr>
          </w:p>
        </w:tc>
        <w:tc>
          <w:tcPr>
            <w:tcW w:w="860" w:type="dxa"/>
            <w:vAlign w:val="bottom"/>
            <w:tcBorders>
              <w:right w:val="single" w:sz="8" w:color="231F20"/>
            </w:tcBorders>
          </w:tcPr>
          <w:p>
            <w:pPr>
              <w:jc w:val="center"/>
              <w:ind w:right="30"/>
              <w:spacing w:after="0"/>
              <w:rPr>
                <w:sz w:val="20"/>
                <w:szCs w:val="20"/>
                <w:color w:val="auto"/>
              </w:rPr>
            </w:pPr>
            <w:r>
              <w:rPr>
                <w:rFonts w:ascii="Times New Roman" w:cs="Times New Roman" w:eastAsia="Times New Roman" w:hAnsi="Times New Roman"/>
                <w:sz w:val="18"/>
                <w:szCs w:val="18"/>
                <w:color w:val="231F20"/>
              </w:rPr>
              <w:t>66,310</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440" w:type="dxa"/>
            <w:vAlign w:val="bottom"/>
            <w:tcBorders>
              <w:right w:val="single" w:sz="8" w:color="231F20"/>
            </w:tcBorders>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598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resignation or removal;</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(99.176231%)</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(0.823769%)</w:t>
            </w:r>
          </w:p>
        </w:tc>
        <w:tc>
          <w:tcPr>
            <w:tcW w:w="60" w:type="dxa"/>
            <w:vAlign w:val="bottom"/>
          </w:tcPr>
          <w:p>
            <w:pPr>
              <w:spacing w:after="0"/>
              <w:rPr>
                <w:sz w:val="20"/>
                <w:szCs w:val="20"/>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tcPr>
          <w:p>
            <w:pPr>
              <w:spacing w:after="0"/>
              <w:rPr>
                <w:sz w:val="2"/>
                <w:szCs w:val="2"/>
                <w:color w:val="auto"/>
              </w:rPr>
            </w:pPr>
          </w:p>
        </w:tc>
        <w:tc>
          <w:tcPr>
            <w:tcW w:w="440" w:type="dxa"/>
            <w:vAlign w:val="bottom"/>
            <w:tcBorders>
              <w:right w:val="single" w:sz="8" w:color="231F20"/>
            </w:tcBorders>
          </w:tcPr>
          <w:p>
            <w:pPr>
              <w:spacing w:after="0"/>
              <w:rPr>
                <w:sz w:val="2"/>
                <w:szCs w:val="2"/>
                <w:color w:val="auto"/>
              </w:rPr>
            </w:pPr>
          </w:p>
        </w:tc>
        <w:tc>
          <w:tcPr>
            <w:tcW w:w="420" w:type="dxa"/>
            <w:vAlign w:val="bottom"/>
            <w:tcBorders>
              <w:bottom w:val="single" w:sz="8" w:color="231F20"/>
              <w:right w:val="single" w:sz="8" w:color="231F20"/>
            </w:tcBorders>
          </w:tcPr>
          <w:p>
            <w:pPr>
              <w:spacing w:after="0"/>
              <w:rPr>
                <w:sz w:val="2"/>
                <w:szCs w:val="2"/>
                <w:color w:val="auto"/>
              </w:rPr>
            </w:pPr>
          </w:p>
        </w:tc>
        <w:tc>
          <w:tcPr>
            <w:tcW w:w="598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spacing w:after="0"/>
              <w:rPr>
                <w:sz w:val="18"/>
                <w:szCs w:val="18"/>
                <w:color w:val="auto"/>
              </w:rPr>
            </w:pPr>
          </w:p>
        </w:tc>
        <w:tc>
          <w:tcPr>
            <w:tcW w:w="440" w:type="dxa"/>
            <w:vAlign w:val="bottom"/>
            <w:tcBorders>
              <w:right w:val="single" w:sz="8" w:color="231F20"/>
            </w:tcBorders>
          </w:tcPr>
          <w:p>
            <w:pPr>
              <w:spacing w:after="0"/>
              <w:rPr>
                <w:sz w:val="18"/>
                <w:szCs w:val="18"/>
                <w:color w:val="auto"/>
              </w:rPr>
            </w:pPr>
          </w:p>
        </w:tc>
        <w:tc>
          <w:tcPr>
            <w:tcW w:w="4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(ii)</w:t>
            </w:r>
          </w:p>
        </w:tc>
        <w:tc>
          <w:tcPr>
            <w:tcW w:w="598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Ms. May Yihong Wu, who has served more than nine years since November 9,</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194,062,255</w:t>
            </w:r>
          </w:p>
        </w:tc>
        <w:tc>
          <w:tcPr>
            <w:tcW w:w="1220" w:type="dxa"/>
            <w:vAlign w:val="bottom"/>
            <w:tcBorders>
              <w:right w:val="single" w:sz="8" w:color="231F20"/>
            </w:tcBorders>
          </w:tcPr>
          <w:p>
            <w:pPr>
              <w:jc w:val="right"/>
              <w:ind w:right="150"/>
              <w:spacing w:after="0"/>
              <w:rPr>
                <w:sz w:val="20"/>
                <w:szCs w:val="20"/>
                <w:color w:val="auto"/>
              </w:rPr>
            </w:pPr>
            <w:r>
              <w:rPr>
                <w:rFonts w:ascii="Times New Roman" w:cs="Times New Roman" w:eastAsia="Times New Roman" w:hAnsi="Times New Roman"/>
                <w:sz w:val="18"/>
                <w:szCs w:val="18"/>
                <w:color w:val="auto"/>
              </w:rPr>
              <w:t>59,398,625</w:t>
            </w:r>
          </w:p>
        </w:tc>
        <w:tc>
          <w:tcPr>
            <w:tcW w:w="60" w:type="dxa"/>
            <w:vAlign w:val="bottom"/>
          </w:tcPr>
          <w:p>
            <w:pPr>
              <w:spacing w:after="0"/>
              <w:rPr>
                <w:sz w:val="18"/>
                <w:szCs w:val="18"/>
                <w:color w:val="auto"/>
              </w:rPr>
            </w:pPr>
          </w:p>
        </w:tc>
        <w:tc>
          <w:tcPr>
            <w:tcW w:w="860" w:type="dxa"/>
            <w:vAlign w:val="bottom"/>
            <w:tcBorders>
              <w:right w:val="single" w:sz="8" w:color="231F20"/>
            </w:tcBorders>
          </w:tcPr>
          <w:p>
            <w:pPr>
              <w:jc w:val="center"/>
              <w:ind w:right="30"/>
              <w:spacing w:after="0"/>
              <w:rPr>
                <w:sz w:val="20"/>
                <w:szCs w:val="20"/>
                <w:color w:val="auto"/>
              </w:rPr>
            </w:pPr>
            <w:r>
              <w:rPr>
                <w:rFonts w:ascii="Times New Roman" w:cs="Times New Roman" w:eastAsia="Times New Roman" w:hAnsi="Times New Roman"/>
                <w:sz w:val="18"/>
                <w:szCs w:val="18"/>
                <w:color w:val="231F20"/>
              </w:rPr>
              <w:t>67,170</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440" w:type="dxa"/>
            <w:vAlign w:val="bottom"/>
            <w:tcBorders>
              <w:right w:val="single" w:sz="8" w:color="231F20"/>
            </w:tcBorders>
          </w:tcPr>
          <w:p>
            <w:pPr>
              <w:spacing w:after="0"/>
              <w:rPr>
                <w:sz w:val="18"/>
                <w:szCs w:val="18"/>
                <w:color w:val="auto"/>
              </w:rPr>
            </w:pPr>
          </w:p>
        </w:tc>
        <w:tc>
          <w:tcPr>
            <w:tcW w:w="420" w:type="dxa"/>
            <w:vAlign w:val="bottom"/>
            <w:tcBorders>
              <w:right w:val="single" w:sz="8" w:color="231F20"/>
            </w:tcBorders>
          </w:tcPr>
          <w:p>
            <w:pPr>
              <w:spacing w:after="0"/>
              <w:rPr>
                <w:sz w:val="18"/>
                <w:szCs w:val="18"/>
                <w:color w:val="auto"/>
              </w:rPr>
            </w:pPr>
          </w:p>
        </w:tc>
        <w:tc>
          <w:tcPr>
            <w:tcW w:w="598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2010, to serve as an independent Director, subject to her earlier resignation or</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(76.564973%)</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(23.435027%)</w:t>
            </w:r>
          </w:p>
        </w:tc>
        <w:tc>
          <w:tcPr>
            <w:tcW w:w="60" w:type="dxa"/>
            <w:vAlign w:val="bottom"/>
          </w:tcPr>
          <w:p>
            <w:pPr>
              <w:spacing w:after="0"/>
              <w:rPr>
                <w:sz w:val="18"/>
                <w:szCs w:val="18"/>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440" w:type="dxa"/>
            <w:vAlign w:val="bottom"/>
            <w:tcBorders>
              <w:right w:val="single" w:sz="8" w:color="231F20"/>
            </w:tcBorders>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598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removal;</w:t>
            </w:r>
          </w:p>
        </w:tc>
        <w:tc>
          <w:tcPr>
            <w:tcW w:w="122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tcPr>
          <w:p>
            <w:pPr>
              <w:spacing w:after="0"/>
              <w:rPr>
                <w:sz w:val="2"/>
                <w:szCs w:val="2"/>
                <w:color w:val="auto"/>
              </w:rPr>
            </w:pPr>
          </w:p>
        </w:tc>
        <w:tc>
          <w:tcPr>
            <w:tcW w:w="440" w:type="dxa"/>
            <w:vAlign w:val="bottom"/>
            <w:tcBorders>
              <w:bottom w:val="single" w:sz="8" w:color="231F20"/>
              <w:right w:val="single" w:sz="8" w:color="231F20"/>
            </w:tcBorders>
          </w:tcPr>
          <w:p>
            <w:pPr>
              <w:spacing w:after="0"/>
              <w:rPr>
                <w:sz w:val="2"/>
                <w:szCs w:val="2"/>
                <w:color w:val="auto"/>
              </w:rPr>
            </w:pPr>
          </w:p>
        </w:tc>
        <w:tc>
          <w:tcPr>
            <w:tcW w:w="420" w:type="dxa"/>
            <w:vAlign w:val="bottom"/>
            <w:tcBorders>
              <w:bottom w:val="single" w:sz="8" w:color="231F20"/>
              <w:right w:val="single" w:sz="8" w:color="231F20"/>
            </w:tcBorders>
          </w:tcPr>
          <w:p>
            <w:pPr>
              <w:spacing w:after="0"/>
              <w:rPr>
                <w:sz w:val="2"/>
                <w:szCs w:val="2"/>
                <w:color w:val="auto"/>
              </w:rPr>
            </w:pPr>
          </w:p>
        </w:tc>
        <w:tc>
          <w:tcPr>
            <w:tcW w:w="598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spacing w:after="0"/>
              <w:rPr>
                <w:sz w:val="18"/>
                <w:szCs w:val="18"/>
                <w:color w:val="auto"/>
              </w:rPr>
            </w:pPr>
          </w:p>
        </w:tc>
        <w:tc>
          <w:tcPr>
            <w:tcW w:w="4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(B)</w:t>
            </w:r>
          </w:p>
        </w:tc>
        <w:tc>
          <w:tcPr>
            <w:tcW w:w="6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231F20"/>
              </w:rPr>
              <w:t>To authorize the Board to fix the remuneration of the Directors.</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249,868,280</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1,314,420</w:t>
            </w:r>
          </w:p>
        </w:tc>
        <w:tc>
          <w:tcPr>
            <w:tcW w:w="60" w:type="dxa"/>
            <w:vAlign w:val="bottom"/>
          </w:tcPr>
          <w:p>
            <w:pPr>
              <w:spacing w:after="0"/>
              <w:rPr>
                <w:sz w:val="18"/>
                <w:szCs w:val="18"/>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2,345,350</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440" w:type="dxa"/>
            <w:vAlign w:val="bottom"/>
            <w:tcBorders>
              <w:right w:val="single" w:sz="8" w:color="231F20"/>
            </w:tcBorders>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tcBorders>
              <w:right w:val="single" w:sz="8" w:color="231F20"/>
            </w:tcBorders>
          </w:tcPr>
          <w:p>
            <w:pPr>
              <w:spacing w:after="0"/>
              <w:rPr>
                <w:sz w:val="20"/>
                <w:szCs w:val="20"/>
                <w:color w:val="auto"/>
              </w:rPr>
            </w:pP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(99.476708%)</w:t>
            </w: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(0.523292%)</w:t>
            </w:r>
          </w:p>
        </w:tc>
        <w:tc>
          <w:tcPr>
            <w:tcW w:w="60" w:type="dxa"/>
            <w:vAlign w:val="bottom"/>
          </w:tcPr>
          <w:p>
            <w:pPr>
              <w:spacing w:after="0"/>
              <w:rPr>
                <w:sz w:val="20"/>
                <w:szCs w:val="20"/>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bottom w:val="single" w:sz="8" w:color="231F20"/>
              <w:right w:val="single" w:sz="8" w:color="231F20"/>
            </w:tcBorders>
          </w:tcPr>
          <w:p>
            <w:pPr>
              <w:spacing w:after="0"/>
              <w:rPr>
                <w:sz w:val="2"/>
                <w:szCs w:val="2"/>
                <w:color w:val="auto"/>
              </w:rPr>
            </w:pPr>
          </w:p>
        </w:tc>
        <w:tc>
          <w:tcPr>
            <w:tcW w:w="440" w:type="dxa"/>
            <w:vAlign w:val="bottom"/>
            <w:tcBorders>
              <w:bottom w:val="single" w:sz="8" w:color="231F20"/>
              <w:right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598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632" w:right="340" w:hanging="632"/>
        <w:spacing w:after="0" w:line="195" w:lineRule="auto"/>
        <w:tabs>
          <w:tab w:leader="none" w:pos="632" w:val="left"/>
        </w:tabs>
        <w:numPr>
          <w:ilvl w:val="0"/>
          <w:numId w:val="80"/>
        </w:numPr>
        <w:rPr>
          <w:rFonts w:ascii="Times New Roman" w:cs="Times New Roman" w:eastAsia="Times New Roman" w:hAnsi="Times New Roman"/>
          <w:sz w:val="30"/>
          <w:szCs w:val="30"/>
          <w:color w:val="231F20"/>
          <w:vertAlign w:val="superscript"/>
        </w:rPr>
      </w:pPr>
      <w:r>
        <w:rPr>
          <w:rFonts w:ascii="Times New Roman" w:cs="Times New Roman" w:eastAsia="Times New Roman" w:hAnsi="Times New Roman"/>
          <w:sz w:val="18"/>
          <w:szCs w:val="18"/>
          <w:color w:val="231F20"/>
        </w:rPr>
        <w:t>According to the Companies Act (As Revised) of the Cayman Islands, the Shares in abstention do not need to be calculated as votes cast at the AGM.</w:t>
      </w:r>
    </w:p>
    <w:p>
      <w:pPr>
        <w:spacing w:after="0" w:line="200" w:lineRule="exact"/>
        <w:rPr>
          <w:sz w:val="20"/>
          <w:szCs w:val="20"/>
          <w:color w:val="auto"/>
        </w:rPr>
      </w:pPr>
    </w:p>
    <w:p>
      <w:pPr>
        <w:spacing w:after="0" w:line="21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7"/>
        </w:trPr>
        <w:tc>
          <w:tcPr>
            <w:tcW w:w="700" w:type="dxa"/>
            <w:vAlign w:val="bottom"/>
            <w:tcBorders>
              <w:right w:val="single" w:sz="8" w:color="231F20"/>
            </w:tcBorders>
          </w:tcPr>
          <w:p>
            <w:pPr>
              <w:spacing w:after="0"/>
              <w:rPr>
                <w:sz w:val="22"/>
                <w:szCs w:val="22"/>
                <w:color w:val="auto"/>
              </w:rPr>
            </w:pPr>
          </w:p>
        </w:tc>
        <w:tc>
          <w:tcPr>
            <w:tcW w:w="740" w:type="dxa"/>
            <w:vAlign w:val="bottom"/>
            <w:tcBorders>
              <w:top w:val="single" w:sz="8" w:color="231F20"/>
            </w:tcBorders>
          </w:tcPr>
          <w:p>
            <w:pPr>
              <w:spacing w:after="0"/>
              <w:rPr>
                <w:sz w:val="22"/>
                <w:szCs w:val="22"/>
                <w:color w:val="auto"/>
              </w:rPr>
            </w:pPr>
          </w:p>
        </w:tc>
        <w:tc>
          <w:tcPr>
            <w:tcW w:w="740" w:type="dxa"/>
            <w:vAlign w:val="bottom"/>
            <w:tcBorders>
              <w:top w:val="single" w:sz="8" w:color="231F20"/>
            </w:tcBorders>
          </w:tcPr>
          <w:p>
            <w:pPr>
              <w:spacing w:after="0"/>
              <w:rPr>
                <w:sz w:val="22"/>
                <w:szCs w:val="22"/>
                <w:color w:val="auto"/>
              </w:rPr>
            </w:pPr>
          </w:p>
        </w:tc>
        <w:tc>
          <w:tcPr>
            <w:tcW w:w="4020" w:type="dxa"/>
            <w:vAlign w:val="bottom"/>
            <w:tcBorders>
              <w:top w:val="single" w:sz="8" w:color="231F20"/>
              <w:right w:val="single" w:sz="8" w:color="231F20"/>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231F20"/>
              </w:rPr>
              <w:t>Ordinary Resolutions</w:t>
            </w:r>
          </w:p>
        </w:tc>
        <w:tc>
          <w:tcPr>
            <w:tcW w:w="1680" w:type="dxa"/>
            <w:vAlign w:val="bottom"/>
            <w:tcBorders>
              <w:top w:val="single" w:sz="8" w:color="231F20"/>
            </w:tcBorders>
          </w:tcPr>
          <w:p>
            <w:pPr>
              <w:spacing w:after="0"/>
              <w:rPr>
                <w:sz w:val="22"/>
                <w:szCs w:val="22"/>
                <w:color w:val="auto"/>
              </w:rPr>
            </w:pPr>
          </w:p>
        </w:tc>
        <w:tc>
          <w:tcPr>
            <w:tcW w:w="17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Number of Votes (%)</w:t>
            </w:r>
          </w:p>
        </w:tc>
        <w:tc>
          <w:tcPr>
            <w:tcW w:w="1660" w:type="dxa"/>
            <w:vAlign w:val="bottom"/>
            <w:tcBorders>
              <w:top w:val="single" w:sz="8" w:color="231F20"/>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0" w:type="dxa"/>
            <w:vAlign w:val="bottom"/>
            <w:tcBorders>
              <w:right w:val="single" w:sz="8" w:color="231F20"/>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20" w:type="dxa"/>
            <w:vAlign w:val="bottom"/>
            <w:tcBorders>
              <w:bottom w:val="single" w:sz="8" w:color="231F20"/>
              <w:right w:val="single" w:sz="8" w:color="231F20"/>
            </w:tcBorders>
            <w:vMerge w:val="continue"/>
          </w:tcPr>
          <w:p>
            <w:pPr>
              <w:spacing w:after="0"/>
              <w:rPr>
                <w:sz w:val="2"/>
                <w:szCs w:val="2"/>
                <w:color w:val="auto"/>
              </w:rPr>
            </w:pPr>
          </w:p>
        </w:tc>
        <w:tc>
          <w:tcPr>
            <w:tcW w:w="168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6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00" w:type="dxa"/>
            <w:vAlign w:val="bottom"/>
            <w:tcBorders>
              <w:right w:val="single" w:sz="8" w:color="231F20"/>
            </w:tcBorders>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20" w:type="dxa"/>
            <w:vAlign w:val="bottom"/>
            <w:tcBorders>
              <w:right w:val="single" w:sz="8" w:color="231F20"/>
            </w:tcBorders>
            <w:vMerge w:val="continue"/>
          </w:tcPr>
          <w:p>
            <w:pPr>
              <w:spacing w:after="0"/>
              <w:rPr>
                <w:sz w:val="14"/>
                <w:szCs w:val="14"/>
                <w:color w:val="auto"/>
              </w:rPr>
            </w:pPr>
          </w:p>
        </w:tc>
        <w:tc>
          <w:tcPr>
            <w:tcW w:w="1680" w:type="dxa"/>
            <w:vAlign w:val="bottom"/>
            <w:tcBorders>
              <w:right w:val="single" w:sz="8" w:color="231F20"/>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7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1660" w:type="dxa"/>
            <w:vAlign w:val="bottom"/>
            <w:tcBorders>
              <w:right w:val="single" w:sz="8" w:color="231F20"/>
            </w:tcBorders>
            <w:vMerge w:val="restart"/>
          </w:tcPr>
          <w:p>
            <w:pPr>
              <w:ind w:left="480"/>
              <w:spacing w:after="0" w:line="303" w:lineRule="exact"/>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0" w:type="dxa"/>
            <w:vAlign w:val="bottom"/>
          </w:tcPr>
          <w:p>
            <w:pPr>
              <w:spacing w:after="0"/>
              <w:rPr>
                <w:sz w:val="1"/>
                <w:szCs w:val="1"/>
                <w:color w:val="auto"/>
              </w:rPr>
            </w:pPr>
          </w:p>
        </w:tc>
      </w:tr>
      <w:tr>
        <w:trPr>
          <w:trHeight w:val="135"/>
        </w:trPr>
        <w:tc>
          <w:tcPr>
            <w:tcW w:w="700" w:type="dxa"/>
            <w:vAlign w:val="bottom"/>
            <w:tcBorders>
              <w:right w:val="single" w:sz="8" w:color="231F20"/>
            </w:tcBorders>
          </w:tcPr>
          <w:p>
            <w:pPr>
              <w:spacing w:after="0"/>
              <w:rPr>
                <w:sz w:val="11"/>
                <w:szCs w:val="11"/>
                <w:color w:val="auto"/>
              </w:rPr>
            </w:pPr>
          </w:p>
        </w:tc>
        <w:tc>
          <w:tcPr>
            <w:tcW w:w="740" w:type="dxa"/>
            <w:vAlign w:val="bottom"/>
            <w:tcBorders>
              <w:bottom w:val="single" w:sz="8" w:color="231F20"/>
            </w:tcBorders>
          </w:tcPr>
          <w:p>
            <w:pPr>
              <w:spacing w:after="0"/>
              <w:rPr>
                <w:sz w:val="11"/>
                <w:szCs w:val="11"/>
                <w:color w:val="auto"/>
              </w:rPr>
            </w:pPr>
          </w:p>
        </w:tc>
        <w:tc>
          <w:tcPr>
            <w:tcW w:w="740" w:type="dxa"/>
            <w:vAlign w:val="bottom"/>
            <w:tcBorders>
              <w:bottom w:val="single" w:sz="8" w:color="231F20"/>
            </w:tcBorders>
          </w:tcPr>
          <w:p>
            <w:pPr>
              <w:spacing w:after="0"/>
              <w:rPr>
                <w:sz w:val="11"/>
                <w:szCs w:val="11"/>
                <w:color w:val="auto"/>
              </w:rPr>
            </w:pPr>
          </w:p>
        </w:tc>
        <w:tc>
          <w:tcPr>
            <w:tcW w:w="4020" w:type="dxa"/>
            <w:vAlign w:val="bottom"/>
            <w:tcBorders>
              <w:bottom w:val="single" w:sz="8" w:color="231F20"/>
              <w:right w:val="single" w:sz="8" w:color="231F20"/>
            </w:tcBorders>
          </w:tcPr>
          <w:p>
            <w:pPr>
              <w:spacing w:after="0"/>
              <w:rPr>
                <w:sz w:val="11"/>
                <w:szCs w:val="11"/>
                <w:color w:val="auto"/>
              </w:rPr>
            </w:pPr>
          </w:p>
        </w:tc>
        <w:tc>
          <w:tcPr>
            <w:tcW w:w="1680" w:type="dxa"/>
            <w:vAlign w:val="bottom"/>
            <w:tcBorders>
              <w:bottom w:val="single" w:sz="8" w:color="231F20"/>
              <w:right w:val="single" w:sz="8" w:color="231F20"/>
            </w:tcBorders>
            <w:vMerge w:val="continue"/>
          </w:tcPr>
          <w:p>
            <w:pPr>
              <w:spacing w:after="0"/>
              <w:rPr>
                <w:sz w:val="11"/>
                <w:szCs w:val="11"/>
                <w:color w:val="auto"/>
              </w:rPr>
            </w:pPr>
          </w:p>
        </w:tc>
        <w:tc>
          <w:tcPr>
            <w:tcW w:w="1700" w:type="dxa"/>
            <w:vAlign w:val="bottom"/>
            <w:tcBorders>
              <w:bottom w:val="single" w:sz="8" w:color="231F20"/>
              <w:right w:val="single" w:sz="8" w:color="231F20"/>
            </w:tcBorders>
            <w:vMerge w:val="continue"/>
          </w:tcPr>
          <w:p>
            <w:pPr>
              <w:spacing w:after="0"/>
              <w:rPr>
                <w:sz w:val="11"/>
                <w:szCs w:val="11"/>
                <w:color w:val="auto"/>
              </w:rPr>
            </w:pPr>
          </w:p>
        </w:tc>
        <w:tc>
          <w:tcPr>
            <w:tcW w:w="1660" w:type="dxa"/>
            <w:vAlign w:val="bottom"/>
            <w:tcBorders>
              <w:bottom w:val="single" w:sz="8" w:color="231F20"/>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jc w:val="right"/>
              <w:ind w:right="430"/>
              <w:spacing w:after="0"/>
              <w:rPr>
                <w:sz w:val="20"/>
                <w:szCs w:val="20"/>
                <w:color w:val="auto"/>
              </w:rPr>
            </w:pPr>
            <w:r>
              <w:rPr>
                <w:rFonts w:ascii="Times New Roman" w:cs="Times New Roman" w:eastAsia="Times New Roman" w:hAnsi="Times New Roman"/>
                <w:sz w:val="18"/>
                <w:szCs w:val="18"/>
                <w:color w:val="231F20"/>
              </w:rPr>
              <w:t>3.</w:t>
            </w:r>
          </w:p>
        </w:tc>
        <w:tc>
          <w:tcPr>
            <w:tcW w:w="7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w:t>
            </w: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 consider, approve and declare Final Dividend of</w:t>
            </w:r>
          </w:p>
        </w:tc>
        <w:tc>
          <w:tcPr>
            <w:tcW w:w="1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253,419,340</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43,245</w:t>
            </w:r>
          </w:p>
        </w:tc>
        <w:tc>
          <w:tcPr>
            <w:tcW w:w="16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65,465</w:t>
            </w: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RMB306.0   million   (approximately   US$44.9</w:t>
            </w:r>
          </w:p>
        </w:tc>
        <w:tc>
          <w:tcPr>
            <w:tcW w:w="1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(99.982938%)</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(0.017062%)</w:t>
            </w:r>
          </w:p>
        </w:tc>
        <w:tc>
          <w:tcPr>
            <w:tcW w:w="16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million) in aggregate in respect of the year ended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December 31, 2025, which will be paid out of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corporate actions budget equivalent to 50% of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non-GAAP net income attributable to Shareholders</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during  the  year  ended  December  31,  2025  to</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Shareholders whose names appear on the register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members of the Company as of the Dividend Record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Date; if declared and paid, a Final Dividend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RMB0.933 (equivalent to approximately US$0.137,</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  approximately  HK$1.072)  per  share  (tax</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inclusive) in respect of the year ended December 31,</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2025 will be paid out to Shareholders who are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entitled to dividends, subject to adjustment to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number  of  Shares  of  the  Company  entitled  to</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dividend  distribution  as  of  the  record  date  for</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dividend distribution, and the equivalent U.S. dollars</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amount and Hong Kong dollars amount are also</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subject to exchange rate adjustment; and</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right w:val="single" w:sz="8" w:color="231F20"/>
            </w:tcBorders>
          </w:tcPr>
          <w:p>
            <w:pPr>
              <w:spacing w:after="0"/>
              <w:rPr>
                <w:sz w:val="2"/>
                <w:szCs w:val="2"/>
                <w:color w:val="auto"/>
              </w:rPr>
            </w:pPr>
          </w:p>
        </w:tc>
        <w:tc>
          <w:tcPr>
            <w:tcW w:w="740" w:type="dxa"/>
            <w:vAlign w:val="bottom"/>
            <w:tcBorders>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(B)</w:t>
            </w: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 consider, approve and declare Special Dividend</w:t>
            </w:r>
          </w:p>
        </w:tc>
        <w:tc>
          <w:tcPr>
            <w:tcW w:w="1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253,419,840</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42,745</w:t>
            </w:r>
          </w:p>
        </w:tc>
        <w:tc>
          <w:tcPr>
            <w:tcW w:w="16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65,465</w:t>
            </w: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of  RMB306.0  million  (approximately  US$44.9</w:t>
            </w:r>
          </w:p>
        </w:tc>
        <w:tc>
          <w:tcPr>
            <w:tcW w:w="1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(99.983136%)</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(0.016864%)</w:t>
            </w:r>
          </w:p>
        </w:tc>
        <w:tc>
          <w:tcPr>
            <w:tcW w:w="16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million) in aggregate, which will be paid out of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accumulated return surplus cash from the years prior</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 2025, to Shareholders whose names appear on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register of members of the Company as of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Dividend Record Date; if declared and paid, a non-</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recurring   Special   Dividend   of   RMB0.933</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(equivalent   to   approximately   US$0.137,   or</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approximately HK$1.072) per share (tax inclusive)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will be paid out to Shareholders who are entitled to</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dividends, subject to adjustment to the number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of  the  Company  entitled  to  dividend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distribution  as  of  the  record  date  for  dividend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distribution, and the equivalent U.S. dollars amount</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and Hong Kong dollars amount are also subject to</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exchange rate adjustment.</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jc w:val="right"/>
              <w:ind w:right="430"/>
              <w:spacing w:after="0"/>
              <w:rPr>
                <w:sz w:val="20"/>
                <w:szCs w:val="20"/>
                <w:color w:val="auto"/>
              </w:rPr>
            </w:pPr>
            <w:r>
              <w:rPr>
                <w:rFonts w:ascii="Times New Roman" w:cs="Times New Roman" w:eastAsia="Times New Roman" w:hAnsi="Times New Roman"/>
                <w:sz w:val="18"/>
                <w:szCs w:val="18"/>
                <w:color w:val="231F20"/>
              </w:rPr>
              <w:t>4.</w:t>
            </w:r>
          </w:p>
        </w:tc>
        <w:tc>
          <w:tcPr>
            <w:tcW w:w="476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231F20"/>
              </w:rPr>
              <w:t>To re-appoint Deloitte Touche Tohmatsu as the auditors of the</w:t>
            </w:r>
          </w:p>
        </w:tc>
        <w:tc>
          <w:tcPr>
            <w:tcW w:w="1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234,719,615</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18,704,955</w:t>
            </w:r>
          </w:p>
        </w:tc>
        <w:tc>
          <w:tcPr>
            <w:tcW w:w="16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103,480</w:t>
            </w: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76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231F20"/>
              </w:rPr>
              <w:t>Company to hold office until the conclusion of the next annual</w:t>
            </w:r>
          </w:p>
        </w:tc>
        <w:tc>
          <w:tcPr>
            <w:tcW w:w="1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8"/>
              </w:rPr>
              <w:t>(92.619123%)</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9"/>
              </w:rPr>
              <w:t>(7.380877%)</w:t>
            </w:r>
          </w:p>
        </w:tc>
        <w:tc>
          <w:tcPr>
            <w:tcW w:w="16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0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76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231F20"/>
              </w:rPr>
              <w:t>general meeting of the Company and to authorize the Board to</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76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231F20"/>
              </w:rPr>
              <w:t>fix its remuneration for the year ending December 31, 2026.</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636905</wp:posOffset>
            </wp:positionH>
            <wp:positionV relativeFrom="page">
              <wp:posOffset>586105</wp:posOffset>
            </wp:positionV>
            <wp:extent cx="6703695" cy="6155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3695" cy="61550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57"/>
        </w:trPr>
        <w:tc>
          <w:tcPr>
            <w:tcW w:w="760" w:type="dxa"/>
            <w:vAlign w:val="bottom"/>
            <w:tcBorders>
              <w:top w:val="single" w:sz="8" w:color="231F20"/>
            </w:tcBorders>
          </w:tcPr>
          <w:p>
            <w:pPr>
              <w:spacing w:after="0"/>
              <w:rPr>
                <w:sz w:val="22"/>
                <w:szCs w:val="22"/>
                <w:color w:val="auto"/>
              </w:rPr>
            </w:pPr>
          </w:p>
        </w:tc>
        <w:tc>
          <w:tcPr>
            <w:tcW w:w="740" w:type="dxa"/>
            <w:vAlign w:val="bottom"/>
            <w:tcBorders>
              <w:top w:val="single" w:sz="8" w:color="231F20"/>
            </w:tcBorders>
          </w:tcPr>
          <w:p>
            <w:pPr>
              <w:spacing w:after="0"/>
              <w:rPr>
                <w:sz w:val="22"/>
                <w:szCs w:val="22"/>
                <w:color w:val="auto"/>
              </w:rPr>
            </w:pPr>
          </w:p>
        </w:tc>
        <w:tc>
          <w:tcPr>
            <w:tcW w:w="4020" w:type="dxa"/>
            <w:vAlign w:val="bottom"/>
            <w:tcBorders>
              <w:top w:val="single" w:sz="8" w:color="231F20"/>
              <w:right w:val="single" w:sz="8" w:color="231F20"/>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231F20"/>
              </w:rPr>
              <w:t>Ordinary Resolutions</w:t>
            </w:r>
          </w:p>
        </w:tc>
        <w:tc>
          <w:tcPr>
            <w:tcW w:w="1680" w:type="dxa"/>
            <w:vAlign w:val="bottom"/>
            <w:tcBorders>
              <w:top w:val="single" w:sz="8" w:color="231F20"/>
            </w:tcBorders>
          </w:tcPr>
          <w:p>
            <w:pPr>
              <w:spacing w:after="0"/>
              <w:rPr>
                <w:sz w:val="22"/>
                <w:szCs w:val="22"/>
                <w:color w:val="auto"/>
              </w:rPr>
            </w:pPr>
          </w:p>
        </w:tc>
        <w:tc>
          <w:tcPr>
            <w:tcW w:w="17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Number of Votes (%)</w:t>
            </w:r>
          </w:p>
        </w:tc>
        <w:tc>
          <w:tcPr>
            <w:tcW w:w="1660" w:type="dxa"/>
            <w:vAlign w:val="bottom"/>
            <w:tcBorders>
              <w:top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20" w:type="dxa"/>
            <w:vAlign w:val="bottom"/>
            <w:tcBorders>
              <w:bottom w:val="single" w:sz="8" w:color="231F20"/>
              <w:right w:val="single" w:sz="8" w:color="231F20"/>
            </w:tcBorders>
            <w:vMerge w:val="continue"/>
          </w:tcPr>
          <w:p>
            <w:pPr>
              <w:spacing w:after="0"/>
              <w:rPr>
                <w:sz w:val="2"/>
                <w:szCs w:val="2"/>
                <w:color w:val="auto"/>
              </w:rPr>
            </w:pPr>
          </w:p>
        </w:tc>
        <w:tc>
          <w:tcPr>
            <w:tcW w:w="168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20" w:type="dxa"/>
            <w:vAlign w:val="bottom"/>
            <w:tcBorders>
              <w:right w:val="single" w:sz="8" w:color="231F20"/>
            </w:tcBorders>
            <w:vMerge w:val="continue"/>
          </w:tcPr>
          <w:p>
            <w:pPr>
              <w:spacing w:after="0"/>
              <w:rPr>
                <w:sz w:val="14"/>
                <w:szCs w:val="14"/>
                <w:color w:val="auto"/>
              </w:rPr>
            </w:pPr>
          </w:p>
        </w:tc>
        <w:tc>
          <w:tcPr>
            <w:tcW w:w="1680" w:type="dxa"/>
            <w:vAlign w:val="bottom"/>
            <w:tcBorders>
              <w:right w:val="single" w:sz="8" w:color="231F20"/>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7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1660" w:type="dxa"/>
            <w:vAlign w:val="bottom"/>
            <w:vMerge w:val="restart"/>
          </w:tcPr>
          <w:p>
            <w:pPr>
              <w:ind w:left="480"/>
              <w:spacing w:after="0" w:line="303" w:lineRule="exact"/>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0" w:type="dxa"/>
            <w:vAlign w:val="bottom"/>
          </w:tcPr>
          <w:p>
            <w:pPr>
              <w:spacing w:after="0"/>
              <w:rPr>
                <w:sz w:val="1"/>
                <w:szCs w:val="1"/>
                <w:color w:val="auto"/>
              </w:rPr>
            </w:pPr>
          </w:p>
        </w:tc>
      </w:tr>
      <w:tr>
        <w:trPr>
          <w:trHeight w:val="135"/>
        </w:trPr>
        <w:tc>
          <w:tcPr>
            <w:tcW w:w="760" w:type="dxa"/>
            <w:vAlign w:val="bottom"/>
            <w:tcBorders>
              <w:bottom w:val="single" w:sz="8" w:color="231F20"/>
            </w:tcBorders>
          </w:tcPr>
          <w:p>
            <w:pPr>
              <w:spacing w:after="0"/>
              <w:rPr>
                <w:sz w:val="11"/>
                <w:szCs w:val="11"/>
                <w:color w:val="auto"/>
              </w:rPr>
            </w:pPr>
          </w:p>
        </w:tc>
        <w:tc>
          <w:tcPr>
            <w:tcW w:w="740" w:type="dxa"/>
            <w:vAlign w:val="bottom"/>
            <w:tcBorders>
              <w:bottom w:val="single" w:sz="8" w:color="231F20"/>
            </w:tcBorders>
          </w:tcPr>
          <w:p>
            <w:pPr>
              <w:spacing w:after="0"/>
              <w:rPr>
                <w:sz w:val="11"/>
                <w:szCs w:val="11"/>
                <w:color w:val="auto"/>
              </w:rPr>
            </w:pPr>
          </w:p>
        </w:tc>
        <w:tc>
          <w:tcPr>
            <w:tcW w:w="4020" w:type="dxa"/>
            <w:vAlign w:val="bottom"/>
            <w:tcBorders>
              <w:bottom w:val="single" w:sz="8" w:color="231F20"/>
              <w:right w:val="single" w:sz="8" w:color="231F20"/>
            </w:tcBorders>
          </w:tcPr>
          <w:p>
            <w:pPr>
              <w:spacing w:after="0"/>
              <w:rPr>
                <w:sz w:val="11"/>
                <w:szCs w:val="11"/>
                <w:color w:val="auto"/>
              </w:rPr>
            </w:pPr>
          </w:p>
        </w:tc>
        <w:tc>
          <w:tcPr>
            <w:tcW w:w="1680" w:type="dxa"/>
            <w:vAlign w:val="bottom"/>
            <w:tcBorders>
              <w:bottom w:val="single" w:sz="8" w:color="231F20"/>
              <w:right w:val="single" w:sz="8" w:color="231F20"/>
            </w:tcBorders>
            <w:vMerge w:val="continue"/>
          </w:tcPr>
          <w:p>
            <w:pPr>
              <w:spacing w:after="0"/>
              <w:rPr>
                <w:sz w:val="11"/>
                <w:szCs w:val="11"/>
                <w:color w:val="auto"/>
              </w:rPr>
            </w:pPr>
          </w:p>
        </w:tc>
        <w:tc>
          <w:tcPr>
            <w:tcW w:w="1700" w:type="dxa"/>
            <w:vAlign w:val="bottom"/>
            <w:tcBorders>
              <w:bottom w:val="single" w:sz="8" w:color="231F20"/>
              <w:right w:val="single" w:sz="8" w:color="231F20"/>
            </w:tcBorders>
            <w:vMerge w:val="continue"/>
          </w:tcPr>
          <w:p>
            <w:pPr>
              <w:spacing w:after="0"/>
              <w:rPr>
                <w:sz w:val="11"/>
                <w:szCs w:val="11"/>
                <w:color w:val="auto"/>
              </w:rPr>
            </w:pPr>
          </w:p>
        </w:tc>
        <w:tc>
          <w:tcPr>
            <w:tcW w:w="1660" w:type="dxa"/>
            <w:vAlign w:val="bottom"/>
            <w:tcBorders>
              <w:bottom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760" w:type="dxa"/>
            <w:vAlign w:val="bottom"/>
            <w:tcBorders>
              <w:right w:val="single" w:sz="8" w:color="231F20"/>
            </w:tcBorders>
          </w:tcPr>
          <w:p>
            <w:pPr>
              <w:jc w:val="right"/>
              <w:ind w:right="430"/>
              <w:spacing w:after="0"/>
              <w:rPr>
                <w:sz w:val="20"/>
                <w:szCs w:val="20"/>
                <w:color w:val="auto"/>
              </w:rPr>
            </w:pPr>
            <w:r>
              <w:rPr>
                <w:rFonts w:ascii="Times New Roman" w:cs="Times New Roman" w:eastAsia="Times New Roman" w:hAnsi="Times New Roman"/>
                <w:sz w:val="18"/>
                <w:szCs w:val="18"/>
                <w:color w:val="231F20"/>
              </w:rPr>
              <w:t>5.</w:t>
            </w:r>
          </w:p>
        </w:tc>
        <w:tc>
          <w:tcPr>
            <w:tcW w:w="7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w:t>
            </w: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 grant a repurchase mandate (the “</w:t>
            </w:r>
            <w:r>
              <w:rPr>
                <w:rFonts w:ascii="Times New Roman" w:cs="Times New Roman" w:eastAsia="Times New Roman" w:hAnsi="Times New Roman"/>
                <w:sz w:val="18"/>
                <w:szCs w:val="18"/>
                <w:b w:val="1"/>
                <w:bCs w:val="1"/>
                <w:color w:val="231F20"/>
              </w:rPr>
              <w:t>Repurchase</w:t>
            </w:r>
          </w:p>
        </w:tc>
        <w:tc>
          <w:tcPr>
            <w:tcW w:w="1680" w:type="dxa"/>
            <w:vAlign w:val="bottom"/>
            <w:tcBorders>
              <w:right w:val="single" w:sz="8" w:color="231F20"/>
            </w:tcBorders>
          </w:tcPr>
          <w:p>
            <w:pPr>
              <w:jc w:val="center"/>
              <w:ind w:left="50"/>
              <w:spacing w:after="0"/>
              <w:rPr>
                <w:sz w:val="20"/>
                <w:szCs w:val="20"/>
                <w:color w:val="auto"/>
              </w:rPr>
            </w:pPr>
            <w:r>
              <w:rPr>
                <w:rFonts w:ascii="Times New Roman" w:cs="Times New Roman" w:eastAsia="Times New Roman" w:hAnsi="Times New Roman"/>
                <w:sz w:val="18"/>
                <w:szCs w:val="18"/>
                <w:color w:val="231F20"/>
                <w:w w:val="99"/>
              </w:rPr>
              <w:t>253,356,635</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rPr>
              <w:t>28,500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142,915</w:t>
            </w:r>
          </w:p>
        </w:tc>
        <w:tc>
          <w:tcPr>
            <w:tcW w:w="0" w:type="dxa"/>
            <w:vAlign w:val="bottom"/>
          </w:tcPr>
          <w:p>
            <w:pPr>
              <w:spacing w:after="0"/>
              <w:rPr>
                <w:sz w:val="1"/>
                <w:szCs w:val="1"/>
                <w:color w:val="auto"/>
              </w:rPr>
            </w:pPr>
          </w:p>
        </w:tc>
      </w:tr>
      <w:tr>
        <w:trPr>
          <w:trHeight w:val="220"/>
        </w:trPr>
        <w:tc>
          <w:tcPr>
            <w:tcW w:w="760" w:type="dxa"/>
            <w:vAlign w:val="bottom"/>
            <w:tcBorders>
              <w:right w:val="single" w:sz="8" w:color="231F20"/>
            </w:tcBorders>
          </w:tcPr>
          <w:p>
            <w:pPr>
              <w:spacing w:after="0"/>
              <w:rPr>
                <w:sz w:val="19"/>
                <w:szCs w:val="19"/>
                <w:color w:val="auto"/>
              </w:rPr>
            </w:pPr>
          </w:p>
        </w:tc>
        <w:tc>
          <w:tcPr>
            <w:tcW w:w="740" w:type="dxa"/>
            <w:vAlign w:val="bottom"/>
            <w:tcBorders>
              <w:right w:val="single" w:sz="8" w:color="231F20"/>
            </w:tcBorders>
          </w:tcPr>
          <w:p>
            <w:pPr>
              <w:spacing w:after="0"/>
              <w:rPr>
                <w:sz w:val="19"/>
                <w:szCs w:val="19"/>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b w:val="1"/>
                <w:bCs w:val="1"/>
                <w:color w:val="231F20"/>
              </w:rPr>
              <w:t>Mandate</w:t>
            </w:r>
            <w:r>
              <w:rPr>
                <w:rFonts w:ascii="Times New Roman" w:cs="Times New Roman" w:eastAsia="Times New Roman" w:hAnsi="Times New Roman"/>
                <w:sz w:val="18"/>
                <w:szCs w:val="18"/>
                <w:color w:val="231F20"/>
              </w:rPr>
              <w:t>”) to the Board to repurchase Shares and/</w:t>
            </w:r>
          </w:p>
        </w:tc>
        <w:tc>
          <w:tcPr>
            <w:tcW w:w="1680" w:type="dxa"/>
            <w:vAlign w:val="bottom"/>
            <w:tcBorders>
              <w:right w:val="single" w:sz="8" w:color="231F20"/>
            </w:tcBorders>
          </w:tcPr>
          <w:p>
            <w:pPr>
              <w:jc w:val="center"/>
              <w:ind w:left="70"/>
              <w:spacing w:after="0"/>
              <w:rPr>
                <w:sz w:val="20"/>
                <w:szCs w:val="20"/>
                <w:color w:val="auto"/>
              </w:rPr>
            </w:pPr>
            <w:r>
              <w:rPr>
                <w:rFonts w:ascii="Times New Roman" w:cs="Times New Roman" w:eastAsia="Times New Roman" w:hAnsi="Times New Roman"/>
                <w:sz w:val="18"/>
                <w:szCs w:val="18"/>
                <w:color w:val="231F20"/>
              </w:rPr>
              <w:t>(99.988752%)</w:t>
            </w:r>
          </w:p>
        </w:tc>
        <w:tc>
          <w:tcPr>
            <w:tcW w:w="170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8"/>
                <w:szCs w:val="18"/>
                <w:color w:val="231F20"/>
              </w:rPr>
              <w:t>(0.011248%)</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 ADSs not exceeding 10% of the total number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issued  and  outstanding  shares  of  the  Company</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(excluding treasury shares and shares repurchased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pending for cancellation) as of the date of passing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this ordinary resolution.</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Borders>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(B)</w:t>
            </w: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To  grant  an  issuance  mandate  (the  “</w:t>
            </w:r>
            <w:r>
              <w:rPr>
                <w:rFonts w:ascii="Times New Roman" w:cs="Times New Roman" w:eastAsia="Times New Roman" w:hAnsi="Times New Roman"/>
                <w:sz w:val="18"/>
                <w:szCs w:val="18"/>
                <w:b w:val="1"/>
                <w:bCs w:val="1"/>
                <w:color w:val="231F20"/>
              </w:rPr>
              <w:t>Issuance</w:t>
            </w:r>
          </w:p>
        </w:tc>
        <w:tc>
          <w:tcPr>
            <w:tcW w:w="1680" w:type="dxa"/>
            <w:vAlign w:val="bottom"/>
            <w:tcBorders>
              <w:right w:val="single" w:sz="8" w:color="231F20"/>
            </w:tcBorders>
          </w:tcPr>
          <w:p>
            <w:pPr>
              <w:jc w:val="center"/>
              <w:ind w:left="50"/>
              <w:spacing w:after="0"/>
              <w:rPr>
                <w:sz w:val="20"/>
                <w:szCs w:val="20"/>
                <w:color w:val="auto"/>
              </w:rPr>
            </w:pPr>
            <w:r>
              <w:rPr>
                <w:rFonts w:ascii="Times New Roman" w:cs="Times New Roman" w:eastAsia="Times New Roman" w:hAnsi="Times New Roman"/>
                <w:sz w:val="18"/>
                <w:szCs w:val="18"/>
                <w:color w:val="231F20"/>
                <w:w w:val="99"/>
              </w:rPr>
              <w:t>223,800,525</w:t>
            </w:r>
          </w:p>
        </w:tc>
        <w:tc>
          <w:tcPr>
            <w:tcW w:w="170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8"/>
                <w:szCs w:val="18"/>
                <w:color w:val="231F20"/>
              </w:rPr>
              <w:t>29,603,130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124,395</w:t>
            </w:r>
          </w:p>
        </w:tc>
        <w:tc>
          <w:tcPr>
            <w:tcW w:w="0" w:type="dxa"/>
            <w:vAlign w:val="bottom"/>
          </w:tcPr>
          <w:p>
            <w:pPr>
              <w:spacing w:after="0"/>
              <w:rPr>
                <w:sz w:val="1"/>
                <w:szCs w:val="1"/>
                <w:color w:val="auto"/>
              </w:rPr>
            </w:pPr>
          </w:p>
        </w:tc>
      </w:tr>
      <w:tr>
        <w:trPr>
          <w:trHeight w:val="220"/>
        </w:trPr>
        <w:tc>
          <w:tcPr>
            <w:tcW w:w="760" w:type="dxa"/>
            <w:vAlign w:val="bottom"/>
            <w:tcBorders>
              <w:right w:val="single" w:sz="8" w:color="231F20"/>
            </w:tcBorders>
          </w:tcPr>
          <w:p>
            <w:pPr>
              <w:spacing w:after="0"/>
              <w:rPr>
                <w:sz w:val="19"/>
                <w:szCs w:val="19"/>
                <w:color w:val="auto"/>
              </w:rPr>
            </w:pPr>
          </w:p>
        </w:tc>
        <w:tc>
          <w:tcPr>
            <w:tcW w:w="740" w:type="dxa"/>
            <w:vAlign w:val="bottom"/>
            <w:tcBorders>
              <w:right w:val="single" w:sz="8" w:color="231F20"/>
            </w:tcBorders>
          </w:tcPr>
          <w:p>
            <w:pPr>
              <w:spacing w:after="0"/>
              <w:rPr>
                <w:sz w:val="19"/>
                <w:szCs w:val="19"/>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b w:val="1"/>
                <w:bCs w:val="1"/>
                <w:color w:val="231F20"/>
              </w:rPr>
              <w:t>Mandate</w:t>
            </w:r>
            <w:r>
              <w:rPr>
                <w:rFonts w:ascii="Times New Roman" w:cs="Times New Roman" w:eastAsia="Times New Roman" w:hAnsi="Times New Roman"/>
                <w:sz w:val="18"/>
                <w:szCs w:val="18"/>
                <w:color w:val="231F20"/>
              </w:rPr>
              <w:t>”) to the Board to issue, allot or deal with</w:t>
            </w:r>
          </w:p>
        </w:tc>
        <w:tc>
          <w:tcPr>
            <w:tcW w:w="1680" w:type="dxa"/>
            <w:vAlign w:val="bottom"/>
            <w:tcBorders>
              <w:right w:val="single" w:sz="8" w:color="231F20"/>
            </w:tcBorders>
          </w:tcPr>
          <w:p>
            <w:pPr>
              <w:jc w:val="center"/>
              <w:ind w:left="70"/>
              <w:spacing w:after="0"/>
              <w:rPr>
                <w:sz w:val="20"/>
                <w:szCs w:val="20"/>
                <w:color w:val="auto"/>
              </w:rPr>
            </w:pPr>
            <w:r>
              <w:rPr>
                <w:rFonts w:ascii="Times New Roman" w:cs="Times New Roman" w:eastAsia="Times New Roman" w:hAnsi="Times New Roman"/>
                <w:sz w:val="18"/>
                <w:szCs w:val="18"/>
                <w:color w:val="231F20"/>
              </w:rPr>
              <w:t>(88.317797%)</w:t>
            </w:r>
          </w:p>
        </w:tc>
        <w:tc>
          <w:tcPr>
            <w:tcW w:w="1700" w:type="dxa"/>
            <w:vAlign w:val="bottom"/>
            <w:tcBorders>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231F20"/>
              </w:rPr>
              <w:t>(11.682203%)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additional Shares and/or ADSs (including any sale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or transfer of treasury Shares) not exceeding 20%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the total number of issued and outstanding shares of</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the Company (excluding treasury shares and shares</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repurchased pending for cancellation) as of the date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of passing of this ordinary resolution.</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Borders>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w:t>
            </w: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Conditional upon passing of resolutions numbered</w:t>
            </w:r>
          </w:p>
        </w:tc>
        <w:tc>
          <w:tcPr>
            <w:tcW w:w="1680" w:type="dxa"/>
            <w:vAlign w:val="bottom"/>
            <w:tcBorders>
              <w:right w:val="single" w:sz="8" w:color="231F20"/>
            </w:tcBorders>
          </w:tcPr>
          <w:p>
            <w:pPr>
              <w:jc w:val="center"/>
              <w:ind w:left="50"/>
              <w:spacing w:after="0"/>
              <w:rPr>
                <w:sz w:val="20"/>
                <w:szCs w:val="20"/>
                <w:color w:val="auto"/>
              </w:rPr>
            </w:pPr>
            <w:r>
              <w:rPr>
                <w:rFonts w:ascii="Times New Roman" w:cs="Times New Roman" w:eastAsia="Times New Roman" w:hAnsi="Times New Roman"/>
                <w:sz w:val="18"/>
                <w:szCs w:val="18"/>
                <w:color w:val="231F20"/>
                <w:w w:val="99"/>
              </w:rPr>
              <w:t>194,892,075</w:t>
            </w:r>
          </w:p>
        </w:tc>
        <w:tc>
          <w:tcPr>
            <w:tcW w:w="170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8"/>
                <w:szCs w:val="18"/>
                <w:color w:val="231F20"/>
              </w:rPr>
              <w:t>58,515,185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120,790</w:t>
            </w: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5(A)  and  5(B)  above,  to  extend  the  Issuance</w:t>
            </w:r>
          </w:p>
        </w:tc>
        <w:tc>
          <w:tcPr>
            <w:tcW w:w="1680" w:type="dxa"/>
            <w:vAlign w:val="bottom"/>
            <w:tcBorders>
              <w:right w:val="single" w:sz="8" w:color="231F20"/>
            </w:tcBorders>
          </w:tcPr>
          <w:p>
            <w:pPr>
              <w:jc w:val="center"/>
              <w:ind w:left="70"/>
              <w:spacing w:after="0"/>
              <w:rPr>
                <w:sz w:val="20"/>
                <w:szCs w:val="20"/>
                <w:color w:val="auto"/>
              </w:rPr>
            </w:pPr>
            <w:r>
              <w:rPr>
                <w:rFonts w:ascii="Times New Roman" w:cs="Times New Roman" w:eastAsia="Times New Roman" w:hAnsi="Times New Roman"/>
                <w:sz w:val="18"/>
                <w:szCs w:val="18"/>
                <w:color w:val="231F20"/>
              </w:rPr>
              <w:t>(76.908639%)</w:t>
            </w:r>
          </w:p>
        </w:tc>
        <w:tc>
          <w:tcPr>
            <w:tcW w:w="1700" w:type="dxa"/>
            <w:vAlign w:val="bottom"/>
            <w:tcBorders>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231F20"/>
              </w:rPr>
              <w:t>(23.091361%)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Mandate  by  adding  the  number  of  repurchased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Shares and/or Shares underlying the ADSs under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Repurchase Mandate to the total number of Shares</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and/or Shares underlying the ADSs which may be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allotted and issued by the Directors pursuant to the</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Issuance Mandate, provided that such amount shall</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not exceed 10% of the number of the issued and</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outstanding  shares  of  the  Company  (excluding</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treasury shares and shares repurchased pending for</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cancellation)  as  of  the  date  of  passing  of  this</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resolution.</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Borders>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(D)</w:t>
            </w: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Conditional upon passing of resolutions numbered</w:t>
            </w:r>
          </w:p>
        </w:tc>
        <w:tc>
          <w:tcPr>
            <w:tcW w:w="1680" w:type="dxa"/>
            <w:vAlign w:val="bottom"/>
            <w:tcBorders>
              <w:right w:val="single" w:sz="8" w:color="231F20"/>
            </w:tcBorders>
          </w:tcPr>
          <w:p>
            <w:pPr>
              <w:jc w:val="center"/>
              <w:ind w:left="50"/>
              <w:spacing w:after="0"/>
              <w:rPr>
                <w:sz w:val="20"/>
                <w:szCs w:val="20"/>
                <w:color w:val="auto"/>
              </w:rPr>
            </w:pPr>
            <w:r>
              <w:rPr>
                <w:rFonts w:ascii="Times New Roman" w:cs="Times New Roman" w:eastAsia="Times New Roman" w:hAnsi="Times New Roman"/>
                <w:sz w:val="18"/>
                <w:szCs w:val="18"/>
                <w:color w:val="231F20"/>
                <w:w w:val="99"/>
              </w:rPr>
              <w:t>226,897,530</w:t>
            </w:r>
          </w:p>
        </w:tc>
        <w:tc>
          <w:tcPr>
            <w:tcW w:w="170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8"/>
                <w:szCs w:val="18"/>
                <w:color w:val="231F20"/>
              </w:rPr>
              <w:t>26,508,260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122,260</w:t>
            </w: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5(B) above, to consider and approve the Accelerated</w:t>
            </w:r>
          </w:p>
        </w:tc>
        <w:tc>
          <w:tcPr>
            <w:tcW w:w="1680" w:type="dxa"/>
            <w:vAlign w:val="bottom"/>
            <w:tcBorders>
              <w:right w:val="single" w:sz="8" w:color="231F20"/>
            </w:tcBorders>
          </w:tcPr>
          <w:p>
            <w:pPr>
              <w:jc w:val="center"/>
              <w:ind w:left="70"/>
              <w:spacing w:after="0"/>
              <w:rPr>
                <w:sz w:val="20"/>
                <w:szCs w:val="20"/>
                <w:color w:val="auto"/>
              </w:rPr>
            </w:pPr>
            <w:r>
              <w:rPr>
                <w:rFonts w:ascii="Times New Roman" w:cs="Times New Roman" w:eastAsia="Times New Roman" w:hAnsi="Times New Roman"/>
                <w:sz w:val="18"/>
                <w:szCs w:val="18"/>
                <w:color w:val="231F20"/>
              </w:rPr>
              <w:t>(89.539205%)</w:t>
            </w:r>
          </w:p>
        </w:tc>
        <w:tc>
          <w:tcPr>
            <w:tcW w:w="1700" w:type="dxa"/>
            <w:vAlign w:val="bottom"/>
            <w:tcBorders>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231F20"/>
              </w:rPr>
              <w:t>(10.460795%)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88"/>
              </w:rPr>
              <w:t>–</w:t>
            </w:r>
          </w:p>
        </w:tc>
        <w:tc>
          <w:tcPr>
            <w:tcW w:w="0" w:type="dxa"/>
            <w:vAlign w:val="bottom"/>
          </w:tcPr>
          <w:p>
            <w:pPr>
              <w:spacing w:after="0"/>
              <w:rPr>
                <w:sz w:val="1"/>
                <w:szCs w:val="1"/>
                <w:color w:val="auto"/>
              </w:rPr>
            </w:pPr>
          </w:p>
        </w:tc>
      </w:tr>
      <w:tr>
        <w:trPr>
          <w:trHeight w:val="216"/>
        </w:trPr>
        <w:tc>
          <w:tcPr>
            <w:tcW w:w="760" w:type="dxa"/>
            <w:vAlign w:val="bottom"/>
            <w:tcBorders>
              <w:right w:val="single" w:sz="8" w:color="231F20"/>
            </w:tcBorders>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Vesting of the RSUs granted or to be granted under</w:t>
            </w:r>
          </w:p>
        </w:tc>
        <w:tc>
          <w:tcPr>
            <w:tcW w:w="1680" w:type="dxa"/>
            <w:vAlign w:val="bottom"/>
            <w:tcBorders>
              <w:right w:val="single" w:sz="8" w:color="231F20"/>
            </w:tcBorders>
          </w:tcPr>
          <w:p>
            <w:pPr>
              <w:spacing w:after="0"/>
              <w:rPr>
                <w:sz w:val="18"/>
                <w:szCs w:val="18"/>
                <w:color w:val="auto"/>
              </w:rPr>
            </w:pPr>
          </w:p>
        </w:tc>
        <w:tc>
          <w:tcPr>
            <w:tcW w:w="1700" w:type="dxa"/>
            <w:vAlign w:val="bottom"/>
            <w:tcBorders>
              <w:right w:val="single" w:sz="8" w:color="231F20"/>
            </w:tcBorders>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Borders>
              <w:right w:val="single" w:sz="8" w:color="231F20"/>
            </w:tcBorders>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40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the Settlement Plans under the Issuance Mandate.</w:t>
            </w:r>
          </w:p>
        </w:tc>
        <w:tc>
          <w:tcPr>
            <w:tcW w:w="1680" w:type="dxa"/>
            <w:vAlign w:val="bottom"/>
            <w:tcBorders>
              <w:right w:val="single" w:sz="8" w:color="231F20"/>
            </w:tcBorders>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Borders>
              <w:bottom w:val="single" w:sz="8" w:color="231F20"/>
              <w:right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402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8"/>
          <w:szCs w:val="18"/>
          <w:color w:val="231F20"/>
        </w:rPr>
        <w:t>As more than 50% of the votes were cast in favor of each of the above resolutions, all the resolutions were passed as ordinary resolutions at the AGM.</w:t>
      </w:r>
    </w:p>
    <w:tbl>
      <w:tblPr>
        <w:tblLayout w:type="fixed"/>
        <w:tblInd w:w="20" w:type="dxa"/>
        <w:tblCellMar>
          <w:top w:w="0" w:type="dxa"/>
          <w:left w:w="0" w:type="dxa"/>
          <w:bottom w:w="0" w:type="dxa"/>
          <w:right w:w="0" w:type="dxa"/>
        </w:tblCellMar>
      </w:tblPr>
      <w:tr>
        <w:trPr>
          <w:trHeight w:val="238"/>
        </w:trPr>
        <w:tc>
          <w:tcPr>
            <w:tcW w:w="760" w:type="dxa"/>
            <w:vAlign w:val="bottom"/>
            <w:tcBorders>
              <w:top w:val="single" w:sz="8" w:color="231F20"/>
            </w:tcBorders>
          </w:tcPr>
          <w:p>
            <w:pPr>
              <w:spacing w:after="0"/>
              <w:rPr>
                <w:sz w:val="20"/>
                <w:szCs w:val="20"/>
                <w:color w:val="auto"/>
              </w:rPr>
            </w:pPr>
          </w:p>
        </w:tc>
        <w:tc>
          <w:tcPr>
            <w:tcW w:w="4760" w:type="dxa"/>
            <w:vAlign w:val="bottom"/>
            <w:tcBorders>
              <w:top w:val="single" w:sz="8" w:color="231F20"/>
              <w:right w:val="single" w:sz="8" w:color="231F20"/>
            </w:tcBorders>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231F20"/>
              </w:rPr>
              <w:t>Special Resolution</w:t>
            </w:r>
          </w:p>
        </w:tc>
        <w:tc>
          <w:tcPr>
            <w:tcW w:w="1680" w:type="dxa"/>
            <w:vAlign w:val="bottom"/>
            <w:tcBorders>
              <w:top w:val="single" w:sz="8" w:color="231F20"/>
            </w:tcBorders>
          </w:tcPr>
          <w:p>
            <w:pPr>
              <w:spacing w:after="0"/>
              <w:rPr>
                <w:sz w:val="20"/>
                <w:szCs w:val="20"/>
                <w:color w:val="auto"/>
              </w:rPr>
            </w:pPr>
          </w:p>
        </w:tc>
        <w:tc>
          <w:tcPr>
            <w:tcW w:w="1700" w:type="dxa"/>
            <w:vAlign w:val="bottom"/>
            <w:tcBorders>
              <w:top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231F20"/>
                <w:w w:val="99"/>
              </w:rPr>
              <w:t>Number of Votes (%)</w:t>
            </w:r>
          </w:p>
        </w:tc>
        <w:tc>
          <w:tcPr>
            <w:tcW w:w="166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760" w:type="dxa"/>
            <w:vAlign w:val="bottom"/>
            <w:tcBorders>
              <w:bottom w:val="single" w:sz="8" w:color="231F20"/>
              <w:right w:val="single" w:sz="8" w:color="231F20"/>
            </w:tcBorders>
            <w:vMerge w:val="continue"/>
          </w:tcPr>
          <w:p>
            <w:pPr>
              <w:spacing w:after="0"/>
              <w:rPr>
                <w:sz w:val="2"/>
                <w:szCs w:val="2"/>
                <w:color w:val="auto"/>
              </w:rPr>
            </w:pPr>
          </w:p>
        </w:tc>
        <w:tc>
          <w:tcPr>
            <w:tcW w:w="168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760" w:type="dxa"/>
            <w:vAlign w:val="bottom"/>
            <w:tcBorders>
              <w:right w:val="single" w:sz="8" w:color="231F20"/>
            </w:tcBorders>
            <w:vMerge w:val="continue"/>
          </w:tcPr>
          <w:p>
            <w:pPr>
              <w:spacing w:after="0"/>
              <w:rPr>
                <w:sz w:val="14"/>
                <w:szCs w:val="14"/>
                <w:color w:val="auto"/>
              </w:rPr>
            </w:pPr>
          </w:p>
        </w:tc>
        <w:tc>
          <w:tcPr>
            <w:tcW w:w="1680" w:type="dxa"/>
            <w:vAlign w:val="bottom"/>
            <w:tcBorders>
              <w:right w:val="single" w:sz="8" w:color="231F20"/>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231F20"/>
              </w:rPr>
              <w:t>For</w:t>
            </w:r>
          </w:p>
        </w:tc>
        <w:tc>
          <w:tcPr>
            <w:tcW w:w="1700" w:type="dxa"/>
            <w:vAlign w:val="bottom"/>
            <w:tcBorders>
              <w:right w:val="single" w:sz="8" w:color="231F20"/>
            </w:tcBorders>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231F20"/>
              </w:rPr>
              <w:t>Against</w:t>
            </w:r>
          </w:p>
        </w:tc>
        <w:tc>
          <w:tcPr>
            <w:tcW w:w="1660" w:type="dxa"/>
            <w:vAlign w:val="bottom"/>
            <w:vMerge w:val="restart"/>
          </w:tcPr>
          <w:p>
            <w:pPr>
              <w:ind w:left="480"/>
              <w:spacing w:after="0" w:line="303" w:lineRule="exact"/>
              <w:rPr>
                <w:sz w:val="20"/>
                <w:szCs w:val="20"/>
                <w:color w:val="auto"/>
              </w:rPr>
            </w:pPr>
            <w:r>
              <w:rPr>
                <w:rFonts w:ascii="Times New Roman" w:cs="Times New Roman" w:eastAsia="Times New Roman" w:hAnsi="Times New Roman"/>
                <w:sz w:val="18"/>
                <w:szCs w:val="18"/>
                <w:b w:val="1"/>
                <w:bCs w:val="1"/>
                <w:color w:val="231F20"/>
              </w:rPr>
              <w:t>Abstain</w:t>
            </w:r>
            <w:r>
              <w:rPr>
                <w:rFonts w:ascii="Times New Roman" w:cs="Times New Roman" w:eastAsia="Times New Roman" w:hAnsi="Times New Roman"/>
                <w:sz w:val="29"/>
                <w:szCs w:val="29"/>
                <w:b w:val="1"/>
                <w:bCs w:val="1"/>
                <w:color w:val="231F20"/>
                <w:vertAlign w:val="superscript"/>
              </w:rPr>
              <w:t>1</w:t>
            </w:r>
          </w:p>
        </w:tc>
        <w:tc>
          <w:tcPr>
            <w:tcW w:w="0" w:type="dxa"/>
            <w:vAlign w:val="bottom"/>
          </w:tcPr>
          <w:p>
            <w:pPr>
              <w:spacing w:after="0"/>
              <w:rPr>
                <w:sz w:val="1"/>
                <w:szCs w:val="1"/>
                <w:color w:val="auto"/>
              </w:rPr>
            </w:pPr>
          </w:p>
        </w:tc>
      </w:tr>
      <w:tr>
        <w:trPr>
          <w:trHeight w:val="135"/>
        </w:trPr>
        <w:tc>
          <w:tcPr>
            <w:tcW w:w="760" w:type="dxa"/>
            <w:vAlign w:val="bottom"/>
            <w:tcBorders>
              <w:bottom w:val="single" w:sz="8" w:color="231F20"/>
            </w:tcBorders>
          </w:tcPr>
          <w:p>
            <w:pPr>
              <w:spacing w:after="0"/>
              <w:rPr>
                <w:sz w:val="11"/>
                <w:szCs w:val="11"/>
                <w:color w:val="auto"/>
              </w:rPr>
            </w:pPr>
          </w:p>
        </w:tc>
        <w:tc>
          <w:tcPr>
            <w:tcW w:w="4760" w:type="dxa"/>
            <w:vAlign w:val="bottom"/>
            <w:tcBorders>
              <w:bottom w:val="single" w:sz="8" w:color="231F20"/>
              <w:right w:val="single" w:sz="8" w:color="231F20"/>
            </w:tcBorders>
          </w:tcPr>
          <w:p>
            <w:pPr>
              <w:spacing w:after="0"/>
              <w:rPr>
                <w:sz w:val="11"/>
                <w:szCs w:val="11"/>
                <w:color w:val="auto"/>
              </w:rPr>
            </w:pPr>
          </w:p>
        </w:tc>
        <w:tc>
          <w:tcPr>
            <w:tcW w:w="1680" w:type="dxa"/>
            <w:vAlign w:val="bottom"/>
            <w:tcBorders>
              <w:bottom w:val="single" w:sz="8" w:color="231F20"/>
              <w:right w:val="single" w:sz="8" w:color="231F20"/>
            </w:tcBorders>
            <w:vMerge w:val="continue"/>
          </w:tcPr>
          <w:p>
            <w:pPr>
              <w:spacing w:after="0"/>
              <w:rPr>
                <w:sz w:val="11"/>
                <w:szCs w:val="11"/>
                <w:color w:val="auto"/>
              </w:rPr>
            </w:pPr>
          </w:p>
        </w:tc>
        <w:tc>
          <w:tcPr>
            <w:tcW w:w="1700" w:type="dxa"/>
            <w:vAlign w:val="bottom"/>
            <w:tcBorders>
              <w:bottom w:val="single" w:sz="8" w:color="231F20"/>
              <w:right w:val="single" w:sz="8" w:color="231F20"/>
            </w:tcBorders>
            <w:vMerge w:val="continue"/>
          </w:tcPr>
          <w:p>
            <w:pPr>
              <w:spacing w:after="0"/>
              <w:rPr>
                <w:sz w:val="11"/>
                <w:szCs w:val="11"/>
                <w:color w:val="auto"/>
              </w:rPr>
            </w:pPr>
          </w:p>
        </w:tc>
        <w:tc>
          <w:tcPr>
            <w:tcW w:w="1660" w:type="dxa"/>
            <w:vAlign w:val="bottom"/>
            <w:tcBorders>
              <w:bottom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760" w:type="dxa"/>
            <w:vAlign w:val="bottom"/>
            <w:tcBorders>
              <w:right w:val="single" w:sz="8" w:color="231F20"/>
            </w:tcBorders>
          </w:tcPr>
          <w:p>
            <w:pPr>
              <w:jc w:val="right"/>
              <w:ind w:right="430"/>
              <w:spacing w:after="0"/>
              <w:rPr>
                <w:sz w:val="20"/>
                <w:szCs w:val="20"/>
                <w:color w:val="auto"/>
              </w:rPr>
            </w:pPr>
            <w:r>
              <w:rPr>
                <w:rFonts w:ascii="Times New Roman" w:cs="Times New Roman" w:eastAsia="Times New Roman" w:hAnsi="Times New Roman"/>
                <w:sz w:val="18"/>
                <w:szCs w:val="18"/>
                <w:color w:val="231F20"/>
              </w:rPr>
              <w:t>6.</w:t>
            </w:r>
          </w:p>
        </w:tc>
        <w:tc>
          <w:tcPr>
            <w:tcW w:w="47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To adopt the New Articles of Association.</w:t>
            </w:r>
          </w:p>
        </w:tc>
        <w:tc>
          <w:tcPr>
            <w:tcW w:w="1680" w:type="dxa"/>
            <w:vAlign w:val="bottom"/>
            <w:tcBorders>
              <w:right w:val="single" w:sz="8" w:color="231F20"/>
            </w:tcBorders>
          </w:tcPr>
          <w:p>
            <w:pPr>
              <w:jc w:val="right"/>
              <w:ind w:right="230"/>
              <w:spacing w:after="0"/>
              <w:rPr>
                <w:sz w:val="20"/>
                <w:szCs w:val="20"/>
                <w:color w:val="auto"/>
              </w:rPr>
            </w:pPr>
            <w:r>
              <w:rPr>
                <w:rFonts w:ascii="Times New Roman" w:cs="Times New Roman" w:eastAsia="Times New Roman" w:hAnsi="Times New Roman"/>
                <w:sz w:val="18"/>
                <w:szCs w:val="18"/>
                <w:color w:val="231F20"/>
              </w:rPr>
              <w:t>252,081,590</w:t>
            </w:r>
          </w:p>
        </w:tc>
        <w:tc>
          <w:tcPr>
            <w:tcW w:w="1700" w:type="dxa"/>
            <w:vAlign w:val="bottom"/>
            <w:tcBorders>
              <w:right w:val="single" w:sz="8" w:color="231F20"/>
            </w:tcBorders>
          </w:tcPr>
          <w:p>
            <w:pPr>
              <w:ind w:left="540"/>
              <w:spacing w:after="0"/>
              <w:rPr>
                <w:sz w:val="20"/>
                <w:szCs w:val="20"/>
                <w:color w:val="auto"/>
              </w:rPr>
            </w:pPr>
            <w:r>
              <w:rPr>
                <w:rFonts w:ascii="Times New Roman" w:cs="Times New Roman" w:eastAsia="Times New Roman" w:hAnsi="Times New Roman"/>
                <w:sz w:val="18"/>
                <w:szCs w:val="18"/>
                <w:color w:val="231F20"/>
              </w:rPr>
              <w:t>1,378,710</w:t>
            </w:r>
          </w:p>
        </w:tc>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231F20"/>
              </w:rPr>
              <w:t>67,750 –</w:t>
            </w:r>
          </w:p>
        </w:tc>
        <w:tc>
          <w:tcPr>
            <w:tcW w:w="0" w:type="dxa"/>
            <w:vAlign w:val="bottom"/>
          </w:tcPr>
          <w:p>
            <w:pPr>
              <w:spacing w:after="0"/>
              <w:rPr>
                <w:sz w:val="1"/>
                <w:szCs w:val="1"/>
                <w:color w:val="auto"/>
              </w:rPr>
            </w:pPr>
          </w:p>
        </w:tc>
      </w:tr>
      <w:tr>
        <w:trPr>
          <w:trHeight w:val="234"/>
        </w:trPr>
        <w:tc>
          <w:tcPr>
            <w:tcW w:w="760" w:type="dxa"/>
            <w:vAlign w:val="bottom"/>
            <w:tcBorders>
              <w:right w:val="single" w:sz="8" w:color="231F20"/>
            </w:tcBorders>
          </w:tcPr>
          <w:p>
            <w:pPr>
              <w:spacing w:after="0"/>
              <w:rPr>
                <w:sz w:val="20"/>
                <w:szCs w:val="20"/>
                <w:color w:val="auto"/>
              </w:rPr>
            </w:pPr>
          </w:p>
        </w:tc>
        <w:tc>
          <w:tcPr>
            <w:tcW w:w="4760" w:type="dxa"/>
            <w:vAlign w:val="bottom"/>
            <w:tcBorders>
              <w:right w:val="single" w:sz="8" w:color="231F20"/>
            </w:tcBorders>
          </w:tcPr>
          <w:p>
            <w:pPr>
              <w:spacing w:after="0"/>
              <w:rPr>
                <w:sz w:val="20"/>
                <w:szCs w:val="20"/>
                <w:color w:val="auto"/>
              </w:rPr>
            </w:pPr>
          </w:p>
        </w:tc>
        <w:tc>
          <w:tcPr>
            <w:tcW w:w="1680" w:type="dxa"/>
            <w:vAlign w:val="bottom"/>
            <w:tcBorders>
              <w:right w:val="single" w:sz="8" w:color="231F20"/>
            </w:tcBorders>
          </w:tcPr>
          <w:p>
            <w:pPr>
              <w:jc w:val="right"/>
              <w:ind w:right="150"/>
              <w:spacing w:after="0"/>
              <w:rPr>
                <w:sz w:val="20"/>
                <w:szCs w:val="20"/>
                <w:color w:val="auto"/>
              </w:rPr>
            </w:pPr>
            <w:r>
              <w:rPr>
                <w:rFonts w:ascii="Times New Roman" w:cs="Times New Roman" w:eastAsia="Times New Roman" w:hAnsi="Times New Roman"/>
                <w:sz w:val="18"/>
                <w:szCs w:val="18"/>
                <w:color w:val="231F20"/>
              </w:rPr>
              <w:t>(99.456045%)</w:t>
            </w:r>
          </w:p>
        </w:tc>
        <w:tc>
          <w:tcPr>
            <w:tcW w:w="1700" w:type="dxa"/>
            <w:vAlign w:val="bottom"/>
            <w:tcBorders>
              <w:right w:val="single" w:sz="8" w:color="231F20"/>
            </w:tcBorders>
          </w:tcPr>
          <w:p>
            <w:pPr>
              <w:jc w:val="right"/>
              <w:ind w:right="210"/>
              <w:spacing w:after="0"/>
              <w:rPr>
                <w:sz w:val="20"/>
                <w:szCs w:val="20"/>
                <w:color w:val="auto"/>
              </w:rPr>
            </w:pPr>
            <w:r>
              <w:rPr>
                <w:rFonts w:ascii="Times New Roman" w:cs="Times New Roman" w:eastAsia="Times New Roman" w:hAnsi="Times New Roman"/>
                <w:sz w:val="18"/>
                <w:szCs w:val="18"/>
                <w:color w:val="231F20"/>
              </w:rPr>
              <w:t>(0.543955%)</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Borders>
              <w:bottom w:val="single" w:sz="8" w:color="231F20"/>
              <w:right w:val="single" w:sz="8" w:color="231F20"/>
            </w:tcBorders>
          </w:tcPr>
          <w:p>
            <w:pPr>
              <w:spacing w:after="0"/>
              <w:rPr>
                <w:sz w:val="2"/>
                <w:szCs w:val="2"/>
                <w:color w:val="auto"/>
              </w:rPr>
            </w:pPr>
          </w:p>
        </w:tc>
        <w:tc>
          <w:tcPr>
            <w:tcW w:w="4760" w:type="dxa"/>
            <w:vAlign w:val="bottom"/>
            <w:tcBorders>
              <w:bottom w:val="single" w:sz="8" w:color="231F20"/>
              <w:right w:val="single" w:sz="8" w:color="231F20"/>
            </w:tcBorders>
          </w:tcPr>
          <w:p>
            <w:pPr>
              <w:spacing w:after="0"/>
              <w:rPr>
                <w:sz w:val="2"/>
                <w:szCs w:val="2"/>
                <w:color w:val="auto"/>
              </w:rPr>
            </w:pPr>
          </w:p>
        </w:tc>
        <w:tc>
          <w:tcPr>
            <w:tcW w:w="1680" w:type="dxa"/>
            <w:vAlign w:val="bottom"/>
            <w:tcBorders>
              <w:bottom w:val="single" w:sz="8" w:color="231F20"/>
              <w:right w:val="single" w:sz="8" w:color="231F20"/>
            </w:tcBorders>
          </w:tcPr>
          <w:p>
            <w:pPr>
              <w:spacing w:after="0"/>
              <w:rPr>
                <w:sz w:val="2"/>
                <w:szCs w:val="2"/>
                <w:color w:val="auto"/>
              </w:rPr>
            </w:pPr>
          </w:p>
        </w:tc>
        <w:tc>
          <w:tcPr>
            <w:tcW w:w="1700" w:type="dxa"/>
            <w:vAlign w:val="bottom"/>
            <w:tcBorders>
              <w:bottom w:val="single" w:sz="8" w:color="231F20"/>
              <w:right w:val="single" w:sz="8" w:color="231F20"/>
            </w:tcBorders>
          </w:tcPr>
          <w:p>
            <w:pPr>
              <w:spacing w:after="0"/>
              <w:rPr>
                <w:sz w:val="2"/>
                <w:szCs w:val="2"/>
                <w:color w:val="auto"/>
              </w:rPr>
            </w:pPr>
          </w:p>
        </w:tc>
        <w:tc>
          <w:tcPr>
            <w:tcW w:w="1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As more than 75% of the votes were cast in favour of the above resolution, it was passed as a special resolution at the AGM.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Please refer to the Notice for the full text of the resolutions proposed at the AGM.</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3" w:right="339" w:bottom="1440" w:gutter="0" w:footer="0" w:header="0"/>
        </w:sectPr>
      </w:pPr>
    </w:p>
    <w:bookmarkStart w:id="45" w:name="page46"/>
    <w:bookmarkEnd w:id="45"/>
    <w:p>
      <w:pPr>
        <w:jc w:val="both"/>
        <w:ind w:left="652"/>
        <w:spacing w:after="0" w:line="257" w:lineRule="auto"/>
        <w:rPr>
          <w:sz w:val="20"/>
          <w:szCs w:val="20"/>
          <w:color w:val="auto"/>
        </w:rPr>
      </w:pPr>
      <w:r>
        <w:rPr>
          <w:rFonts w:ascii="Times New Roman" w:cs="Times New Roman" w:eastAsia="Times New Roman" w:hAnsi="Times New Roman"/>
          <w:sz w:val="18"/>
          <w:szCs w:val="18"/>
          <w:color w:val="231F20"/>
        </w:rPr>
        <w:t>The total number of issued and outstanding Shares as of the date of the AGM was 328,033,332 Shares (excluding nil treasury Shares and 9,378,935 Shares representing 1,875,787 ADSs repurchased pending for cancellation). The total number of issued and outstanding Shares as of the Shares Record Date was 327,867,117 Shares (excluding nil treasury Shares and 9,366,820 Shares representing 1,873,364 ADSs repurchased</w:t>
      </w:r>
    </w:p>
    <w:p>
      <w:pPr>
        <w:spacing w:after="0" w:line="1" w:lineRule="exact"/>
        <w:rPr>
          <w:sz w:val="20"/>
          <w:szCs w:val="20"/>
          <w:color w:val="auto"/>
        </w:rPr>
      </w:pPr>
    </w:p>
    <w:p>
      <w:pPr>
        <w:jc w:val="both"/>
        <w:ind w:left="652"/>
        <w:spacing w:after="0" w:line="227" w:lineRule="auto"/>
        <w:rPr>
          <w:sz w:val="20"/>
          <w:szCs w:val="20"/>
          <w:color w:val="auto"/>
        </w:rPr>
      </w:pPr>
      <w:r>
        <w:rPr>
          <w:rFonts w:ascii="Times New Roman" w:cs="Times New Roman" w:eastAsia="Times New Roman" w:hAnsi="Times New Roman"/>
          <w:sz w:val="18"/>
          <w:szCs w:val="18"/>
          <w:color w:val="231F20"/>
        </w:rPr>
        <w:t>pending for cancellation)</w:t>
      </w:r>
      <w:r>
        <w:rPr>
          <w:rFonts w:ascii="Times New Roman" w:cs="Times New Roman" w:eastAsia="Times New Roman" w:hAnsi="Times New Roman"/>
          <w:sz w:val="29"/>
          <w:szCs w:val="29"/>
          <w:color w:val="231F20"/>
          <w:vertAlign w:val="superscript"/>
        </w:rPr>
        <w:t>1</w:t>
      </w:r>
      <w:r>
        <w:rPr>
          <w:rFonts w:ascii="Times New Roman" w:cs="Times New Roman" w:eastAsia="Times New Roman" w:hAnsi="Times New Roman"/>
          <w:sz w:val="18"/>
          <w:szCs w:val="18"/>
          <w:color w:val="231F20"/>
        </w:rPr>
        <w:t>, which was the total number of Shares entitling the Shareholders to attend and vote for or against all resolutions. There were no restrictions on any Shareholders casting votes on any of the proposed resolutions at the AGM. The Shareholders who are subject to the proposed Accelerated Vesting of the RSUs granted or to be granted under the Settlement Plans was required to and did abstain from voting on the resolutions numbered 5(B).</w:t>
      </w:r>
    </w:p>
    <w:p>
      <w:pPr>
        <w:spacing w:after="0" w:line="199"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231F20"/>
        </w:rPr>
        <w:t>Save as disclosed above, no person was required under the Hong Kong Listing Rules to abstain from voting on the resolutions proposed at the AGM and no party has stated his/her/ its intention in the Circular to vote against or to abstain from voting on any of the resolutions proposed at the AGM.</w:t>
      </w:r>
    </w:p>
    <w:p>
      <w:pPr>
        <w:spacing w:after="0" w:line="176"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231F20"/>
        </w:rPr>
        <w:t>The Directors, Ms. Jingbo Wang and Mr. Zhe Yin, the non-executive Directors, Ms. Chia-Yue Chang, Mr. Boquan He and Mr. David Zhang and the independent Directors, Ms. Xiangrong Li, Ms. Cynthia Jinhong Meng and Ms. May Yihong Wu attended the AGM, either in person or by means of telecommunication.</w:t>
      </w:r>
    </w:p>
    <w:p>
      <w:pPr>
        <w:spacing w:after="0" w:line="176"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231F20"/>
        </w:rPr>
        <w:t>Computershare Hong Kong Investor Services Limited, the Hong Kong branch share registrar of the Company, acted as the scrutineer for counting of votes at the AGM.</w:t>
      </w:r>
    </w:p>
    <w:p>
      <w:pPr>
        <w:spacing w:after="0" w:line="158" w:lineRule="exact"/>
        <w:rPr>
          <w:sz w:val="20"/>
          <w:szCs w:val="20"/>
          <w:color w:val="auto"/>
        </w:rPr>
      </w:pPr>
    </w:p>
    <w:p>
      <w:pPr>
        <w:ind w:left="632" w:hanging="632"/>
        <w:spacing w:after="0"/>
        <w:tabs>
          <w:tab w:leader="none" w:pos="632" w:val="left"/>
        </w:tabs>
        <w:numPr>
          <w:ilvl w:val="0"/>
          <w:numId w:val="8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PAYMENT OF FINAL DIVIDEND AND SPECIAL DIVIDEND</w:t>
      </w:r>
    </w:p>
    <w:p>
      <w:pPr>
        <w:spacing w:after="0" w:line="229" w:lineRule="exact"/>
        <w:rPr>
          <w:rFonts w:ascii="Times New Roman" w:cs="Times New Roman" w:eastAsia="Times New Roman" w:hAnsi="Times New Roman"/>
          <w:sz w:val="18"/>
          <w:szCs w:val="18"/>
          <w:b w:val="1"/>
          <w:bCs w:val="1"/>
          <w:color w:val="231F20"/>
        </w:rPr>
      </w:pPr>
    </w:p>
    <w:p>
      <w:pPr>
        <w:jc w:val="both"/>
        <w:ind w:left="652"/>
        <w:spacing w:after="0" w:line="255"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The Board is pleased to announce that the Company will distribute (i) Final Dividend of RMB306.0 million (approximately US$45.2 million based on the latest exchange rates available as of the date of this announcement) in aggregate in respect of the year ended December 31, 2025, which will be paid out of the corporate actions budget equivalent to 50% of the non-GAAP net income attributable to Shareholders during the year ended December 31, 2025 in accordance with the capital management and shareholder return policy of the Company adopted on November 29, 2023; and (ii) Special Dividend of RMB306.0 million (approximately US$45.2 million based on the latest exchange rates available as of the date of this announcement) in aggregate, which will be paid out of the accumulated return surplus cash from the years prior to 2025, to Shareholders whose names appear on the register of members of the Company as of the Dividend Record Date for dividend distribution.</w:t>
      </w:r>
    </w:p>
    <w:p>
      <w:pPr>
        <w:spacing w:after="0" w:line="188" w:lineRule="exact"/>
        <w:rPr>
          <w:rFonts w:ascii="Times New Roman" w:cs="Times New Roman" w:eastAsia="Times New Roman" w:hAnsi="Times New Roman"/>
          <w:sz w:val="18"/>
          <w:szCs w:val="18"/>
          <w:b w:val="1"/>
          <w:bCs w:val="1"/>
          <w:color w:val="231F20"/>
        </w:rPr>
      </w:pPr>
    </w:p>
    <w:p>
      <w:pPr>
        <w:jc w:val="both"/>
        <w:ind w:left="652"/>
        <w:spacing w:after="0" w:line="24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Based on the number of issued and outstanding Shares (excluding treasury Shares and Shares repurchased pending for cancellation) as of the date of the AGM, (i) a Final Dividend of RMB0.933 (equivalent to approximately US$0.138, or approximately HK$1.073 based on the latest exchange rates available as of the date of this announcement) per share (tax inclusive</w:t>
      </w:r>
      <w:r>
        <w:rPr>
          <w:rFonts w:ascii="Times New Roman" w:cs="Times New Roman" w:eastAsia="Times New Roman" w:hAnsi="Times New Roman"/>
          <w:sz w:val="29"/>
          <w:szCs w:val="29"/>
          <w:color w:val="231F20"/>
          <w:vertAlign w:val="superscript"/>
        </w:rPr>
        <w:t>2</w:t>
      </w:r>
      <w:r>
        <w:rPr>
          <w:rFonts w:ascii="Times New Roman" w:cs="Times New Roman" w:eastAsia="Times New Roman" w:hAnsi="Times New Roman"/>
          <w:sz w:val="18"/>
          <w:szCs w:val="18"/>
          <w:color w:val="231F20"/>
        </w:rPr>
        <w:t>) in respect of the year ended December 31, 2025, and (ii) a non-recurring Special Dividend of RMB0.933 (equivalent to approximately US$0.138, or approximately HK$1.073 based on the latest exchange rates available as of the date of this announcement) per share (tax inclusive2), will be paid out to Shareholders who are entitled to dividends, both subject to adjustment to the number of Shares of the Company entitled to dividend distribution as of Dividend Record Date for dividend distribution, and the equivalent U.S. dollars amount and Hong Kong dollars amount are also subject to exchange rate adjustment. As of the date of the AGM, 9,378,935 Shares representing 1,875,787 ADSs repurchased by the Company pending for cancellation shall not be entitled to receive any dividends or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8" w:lineRule="exact"/>
        <w:rPr>
          <w:sz w:val="20"/>
          <w:szCs w:val="20"/>
          <w:color w:val="auto"/>
        </w:rPr>
      </w:pPr>
    </w:p>
    <w:p>
      <w:pPr>
        <w:ind w:left="632" w:hanging="632"/>
        <w:spacing w:after="0" w:line="195" w:lineRule="auto"/>
        <w:tabs>
          <w:tab w:leader="none" w:pos="632" w:val="left"/>
        </w:tabs>
        <w:numPr>
          <w:ilvl w:val="0"/>
          <w:numId w:val="82"/>
        </w:numPr>
        <w:rPr>
          <w:rFonts w:ascii="Times New Roman" w:cs="Times New Roman" w:eastAsia="Times New Roman" w:hAnsi="Times New Roman"/>
          <w:sz w:val="30"/>
          <w:szCs w:val="30"/>
          <w:color w:val="231F20"/>
          <w:vertAlign w:val="superscript"/>
        </w:rPr>
      </w:pPr>
      <w:r>
        <w:rPr>
          <w:rFonts w:ascii="Times New Roman" w:cs="Times New Roman" w:eastAsia="Times New Roman" w:hAnsi="Times New Roman"/>
          <w:sz w:val="18"/>
          <w:szCs w:val="18"/>
          <w:color w:val="231F20"/>
        </w:rPr>
        <w:t>The total number of issued Shares as of the ADS Record Date was 327,867,117 Shares (excluding nil treasury Shares and 9,366,820 Shares representing 1,873,364 ADSs repurchased pending for cancellation).</w:t>
      </w:r>
    </w:p>
    <w:p>
      <w:pPr>
        <w:spacing w:after="0" w:line="200" w:lineRule="exact"/>
        <w:rPr>
          <w:sz w:val="20"/>
          <w:szCs w:val="20"/>
          <w:color w:val="auto"/>
        </w:rPr>
      </w:pPr>
    </w:p>
    <w:p>
      <w:pPr>
        <w:ind w:left="632" w:right="20" w:hanging="632"/>
        <w:spacing w:after="0" w:line="195" w:lineRule="auto"/>
        <w:tabs>
          <w:tab w:leader="none" w:pos="632" w:val="left"/>
        </w:tabs>
        <w:numPr>
          <w:ilvl w:val="0"/>
          <w:numId w:val="83"/>
        </w:numPr>
        <w:rPr>
          <w:rFonts w:ascii="Times New Roman" w:cs="Times New Roman" w:eastAsia="Times New Roman" w:hAnsi="Times New Roman"/>
          <w:sz w:val="30"/>
          <w:szCs w:val="30"/>
          <w:color w:val="231F20"/>
          <w:vertAlign w:val="superscript"/>
        </w:rPr>
      </w:pPr>
      <w:r>
        <w:rPr>
          <w:rFonts w:ascii="Times New Roman" w:cs="Times New Roman" w:eastAsia="Times New Roman" w:hAnsi="Times New Roman"/>
          <w:sz w:val="18"/>
          <w:szCs w:val="18"/>
          <w:color w:val="231F20"/>
        </w:rPr>
        <w:t>Tax referred to in this announcement in relation to the final dividend and special dividend means any tax that may be applicable to the Shareholder and ADS holders, whereas there is no applicable withholding tax applied to the final dividend and special dividend.</w:t>
      </w:r>
    </w:p>
    <w:p>
      <w:pPr>
        <w:spacing w:after="0" w:line="200" w:lineRule="exact"/>
        <w:rPr>
          <w:sz w:val="20"/>
          <w:szCs w:val="20"/>
          <w:color w:val="auto"/>
        </w:rPr>
      </w:pPr>
    </w:p>
    <w:p>
      <w:pPr>
        <w:spacing w:after="0" w:line="21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6" w:name="page47"/>
    <w:bookmarkEnd w:id="46"/>
    <w:p>
      <w:pPr>
        <w:jc w:val="both"/>
        <w:ind w:left="660"/>
        <w:spacing w:after="0" w:line="253" w:lineRule="auto"/>
        <w:rPr>
          <w:sz w:val="20"/>
          <w:szCs w:val="20"/>
          <w:color w:val="auto"/>
        </w:rPr>
      </w:pPr>
      <w:r>
        <w:rPr>
          <w:rFonts w:ascii="Times New Roman" w:cs="Times New Roman" w:eastAsia="Times New Roman" w:hAnsi="Times New Roman"/>
          <w:sz w:val="18"/>
          <w:szCs w:val="18"/>
          <w:color w:val="231F20"/>
        </w:rPr>
        <w:t>The Final Dividend and Special Dividend payable shall be converted to and paid in U.S. dollars (for ADS holders and for holders of ordinary shares whose shares registered on the Company’s principal share register in the Cayman Islands) and in Hong Kong dollars (for registered holders of the ordinary shares whose shares registered on the Company’s Hong Kong share register in Hong Kong). The equivalent U.S. dollars amount of the Final Dividend and Special Dividend and the equivalent Hong Kong dollars amount of the Final Dividend and Special Dividend will be ultimately calculated based on (i) the relevant exchange rate based on the most readily available effective buying rate as set forth in the H.10 statistical release of the U.S. Federal Reserve Board as of the Dividend Record Date; and (ii) the number of shares of the Company entitled to dividend distribution as of the Dividend Record Date. The Company will make further announcement in respect of the final rate of final payment in U.S. dollars (for ADS holders and for holders of ordinary shares whose shares registered on the Company’s principal share register in the Cayman Islands) and in Hong Kong dollars (for registered holders of the ordinary shares whose shares registered on the Company’s Hong Kong share register in Hong Kong) on or immediately after the Dividend Record Date and in accordance with the Articles of Association, the Hong Kong Listing Rules, and applicable laws and regulations.</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231F20"/>
        </w:rPr>
        <w:t>In order to qualify for the Final Dividend and Special Dividend, for registered holders of the ordinary shares, all transfer documents together with the relevant share certificates must be lodged for registration with the Company’s branch share registrar in Hong Kong, Computershare Hong Kong Investor Services Limited, at Shops 1712-1716, 17th Floor, Hopewell Centre, 183 Queen’s Road East, Wanchai, Hong Kong, not later than 4:30 p.m. on July 9, 2026, Hong Kong time. The Final Dividend and Special Dividend will be payable to the holders of record of ADSs as of the close of business (5:00 p.m. New York time) on July 9, 2026.</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231F20"/>
        </w:rPr>
        <w:t>The Final Dividend and Special Dividend are expected to be distributed on or around July 30, 2026 respectively to Shareholders whose names appear on the register of members of the Company as of the close of business on July 9, 2026. The Final Dividend and Special Dividend are expected to be distributed on or around August 6, 2026 respectively to ADS holders who hold ADSs as of the close of business (5:00 p.m. New York time) on July 9, 2026. Shareholders and ADS holders should seek professional advice from their own tax advisors regarding the possible tax implications of the respective payment of the Final Dividend and Special Dividend.</w:t>
      </w:r>
    </w:p>
    <w:p>
      <w:pPr>
        <w:spacing w:after="0" w:line="183"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b w:val="1"/>
          <w:bCs w:val="1"/>
          <w:color w:val="231F20"/>
        </w:rPr>
        <w:t>Noah Holdings Private Wealth and Asset Management Limited</w:t>
      </w:r>
    </w:p>
    <w:p>
      <w:pPr>
        <w:spacing w:after="0" w:line="9"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b w:val="1"/>
          <w:bCs w:val="1"/>
          <w:color w:val="231F20"/>
        </w:rPr>
        <w:t>Jingbo Wang</w:t>
      </w:r>
    </w:p>
    <w:p>
      <w:pPr>
        <w:spacing w:after="0" w:line="9"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i w:val="1"/>
          <w:iCs w:val="1"/>
          <w:color w:val="231F20"/>
        </w:rPr>
        <w:t>Chairwoman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June 11,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Ms. Jingbo Wang, the chairwoman of the Board and Mr. Zhe Yin as directors; Ms. Chia-Yue Chang, Mr. Boquan He and Mr. David Zhang as non-executive directors; and Ms. Xiangrong Li, Ms. Cynthia Jinhong Meng and Ms. May Yihong Wu as independent directors.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decimal"/>
      <w:start w:val="10"/>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4">
    <w:nsid w:val="725A06FB"/>
    <w:multiLevelType w:val="hybridMultilevel"/>
    <w:lvl w:ilvl="0">
      <w:lvlJc w:val="left"/>
      <w:lvlText w:val="%1."/>
      <w:numFmt w:val="decimal"/>
      <w:start w:val="4"/>
    </w:lvl>
  </w:abstractNum>
  <w:abstractNum w:abstractNumId="5">
    <w:nsid w:val="2CD89A32"/>
    <w:multiLevelType w:val="hybridMultilevel"/>
    <w:lvl w:ilvl="0">
      <w:lvlJc w:val="left"/>
      <w:lvlText w:val="%1."/>
      <w:numFmt w:val="decimal"/>
      <w:start w:val="6"/>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7"/>
    </w:lvl>
  </w:abstractNum>
  <w:abstractNum w:abstractNumId="8">
    <w:nsid w:val="4B588F54"/>
    <w:multiLevelType w:val="hybridMultilevel"/>
    <w:lvl w:ilvl="0">
      <w:lvlJc w:val="left"/>
      <w:lvlText w:val="%1."/>
      <w:numFmt w:val="decimal"/>
      <w:start w:val="7"/>
    </w:lvl>
  </w:abstractNum>
  <w:abstractNum w:abstractNumId="9">
    <w:nsid w:val="542289EC"/>
    <w:multiLevelType w:val="hybridMultilevel"/>
    <w:lvl w:ilvl="0">
      <w:lvlJc w:val="left"/>
      <w:lvlText w:val="%1."/>
      <w:numFmt w:val="decimal"/>
      <w:start w:val="10"/>
    </w:lvl>
  </w:abstractNum>
  <w:abstractNum w:abstractNumId="10">
    <w:nsid w:val="6DE91B18"/>
    <w:multiLevelType w:val="hybridMultilevel"/>
    <w:lvl w:ilvl="0">
      <w:lvlJc w:val="left"/>
      <w:lvlText w:val="%1."/>
      <w:numFmt w:val="decimal"/>
      <w:start w:val="12"/>
    </w:lvl>
    <w:lvl w:ilvl="1">
      <w:lvlJc w:val="left"/>
      <w:lvlText w:val="(%2)"/>
      <w:numFmt w:val="lowerLetter"/>
      <w:start w:val="2"/>
    </w:lvl>
    <w:lvl w:ilvl="2">
      <w:lvlJc w:val="left"/>
      <w:lvlText w:val="(%3)"/>
      <w:numFmt w:val="lowerRoman"/>
      <w:start w:val="1"/>
    </w:lvl>
  </w:abstractNum>
  <w:abstractNum w:abstractNumId="11">
    <w:nsid w:val="38437FDB"/>
    <w:multiLevelType w:val="hybridMultilevel"/>
    <w:lvl w:ilvl="0">
      <w:lvlJc w:val="left"/>
      <w:lvlText w:val="%1"/>
      <w:numFmt w:val="decimal"/>
      <w:start w:val="1"/>
    </w:lvl>
    <w:lvl w:ilvl="1">
      <w:lvlJc w:val="left"/>
      <w:lvlText w:val="(%2)"/>
      <w:numFmt w:val="lowerLetter"/>
      <w:start w:val="3"/>
    </w:lvl>
  </w:abstractNum>
  <w:abstractNum w:abstractNumId="12">
    <w:nsid w:val="7644A45C"/>
    <w:multiLevelType w:val="hybridMultilevel"/>
    <w:lvl w:ilvl="0">
      <w:lvlJc w:val="left"/>
      <w:lvlText w:val="%1."/>
      <w:numFmt w:val="decimal"/>
      <w:start w:val="13"/>
    </w:lvl>
    <w:lvl w:ilvl="1">
      <w:lvlJc w:val="left"/>
      <w:lvlText w:val="%2"/>
      <w:numFmt w:val="lowerLetter"/>
      <w:start w:val="1"/>
    </w:lvl>
  </w:abstractNum>
  <w:abstractNum w:abstractNumId="13">
    <w:nsid w:val="32FFF902"/>
    <w:multiLevelType w:val="hybridMultilevel"/>
    <w:lvl w:ilvl="0">
      <w:lvlJc w:val="left"/>
      <w:lvlText w:val="%1."/>
      <w:numFmt w:val="decimal"/>
      <w:start w:val="16"/>
    </w:lvl>
    <w:lvl w:ilvl="1">
      <w:lvlJc w:val="left"/>
      <w:lvlText w:val="(%2)"/>
      <w:numFmt w:val="lowerLetter"/>
      <w:start w:val="1"/>
    </w:lvl>
  </w:abstractNum>
  <w:abstractNum w:abstractNumId="14">
    <w:nsid w:val="684A481A"/>
    <w:multiLevelType w:val="hybridMultilevel"/>
    <w:lvl w:ilvl="0">
      <w:lvlJc w:val="left"/>
      <w:lvlText w:val="(%1)"/>
      <w:numFmt w:val="lowerLetter"/>
      <w:start w:val="2"/>
    </w:lvl>
    <w:lvl w:ilvl="1">
      <w:lvlJc w:val="left"/>
      <w:lvlText w:val="(%2)"/>
      <w:numFmt w:val="lowerRoman"/>
      <w:start w:val="1"/>
    </w:lvl>
  </w:abstractNum>
  <w:abstractNum w:abstractNumId="15">
    <w:nsid w:val="579478FE"/>
    <w:multiLevelType w:val="hybridMultilevel"/>
    <w:lvl w:ilvl="0">
      <w:lvlJc w:val="left"/>
      <w:lvlText w:val="%1"/>
      <w:numFmt w:val="decimal"/>
      <w:start w:val="1"/>
    </w:lvl>
    <w:lvl w:ilvl="1">
      <w:lvlJc w:val="left"/>
      <w:lvlText w:val="(%2)"/>
      <w:numFmt w:val="lowerLetter"/>
      <w:start w:val="1"/>
    </w:lvl>
  </w:abstractNum>
  <w:abstractNum w:abstractNumId="16">
    <w:nsid w:val="749ABB43"/>
    <w:multiLevelType w:val="hybridMultilevel"/>
    <w:lvl w:ilvl="0">
      <w:lvlJc w:val="left"/>
      <w:lvlText w:val="%1."/>
      <w:numFmt w:val="decimal"/>
      <w:start w:val="18"/>
    </w:lvl>
    <w:lvl w:ilvl="1">
      <w:lvlJc w:val="left"/>
      <w:lvlText w:val="%2"/>
      <w:numFmt w:val="lowerLetter"/>
      <w:start w:val="1"/>
    </w:lvl>
  </w:abstractNum>
  <w:abstractNum w:abstractNumId="17">
    <w:nsid w:val="3DC240FB"/>
    <w:multiLevelType w:val="hybridMultilevel"/>
    <w:lvl w:ilvl="0">
      <w:lvlJc w:val="left"/>
      <w:lvlText w:val="%1."/>
      <w:numFmt w:val="decimal"/>
      <w:start w:val="20"/>
    </w:lvl>
  </w:abstractNum>
  <w:abstractNum w:abstractNumId="18">
    <w:nsid w:val="1BA026FA"/>
    <w:multiLevelType w:val="hybridMultilevel"/>
    <w:lvl w:ilvl="0">
      <w:lvlJc w:val="left"/>
      <w:lvlText w:val="%1."/>
      <w:numFmt w:val="decimal"/>
      <w:start w:val="21"/>
    </w:lvl>
    <w:lvl w:ilvl="1">
      <w:lvlJc w:val="left"/>
      <w:lvlText w:val="(%2)"/>
      <w:numFmt w:val="lowerLetter"/>
      <w:start w:val="1"/>
    </w:lvl>
  </w:abstractNum>
  <w:abstractNum w:abstractNumId="19">
    <w:nsid w:val="79A1DEAA"/>
    <w:multiLevelType w:val="hybridMultilevel"/>
    <w:lvl w:ilvl="0">
      <w:lvlJc w:val="left"/>
      <w:lvlText w:val="%1."/>
      <w:numFmt w:val="decimal"/>
      <w:start w:val="23"/>
    </w:lvl>
  </w:abstractNum>
  <w:abstractNum w:abstractNumId="20">
    <w:nsid w:val="75C6C33A"/>
    <w:multiLevelType w:val="hybridMultilevel"/>
    <w:lvl w:ilvl="0">
      <w:lvlJc w:val="left"/>
      <w:lvlText w:val="%1."/>
      <w:numFmt w:val="decimal"/>
      <w:start w:val="24"/>
    </w:lvl>
  </w:abstractNum>
  <w:abstractNum w:abstractNumId="21">
    <w:nsid w:val="12E685FB"/>
    <w:multiLevelType w:val="hybridMultilevel"/>
    <w:lvl w:ilvl="0">
      <w:lvlJc w:val="left"/>
      <w:lvlText w:val="%1."/>
      <w:numFmt w:val="decimal"/>
      <w:start w:val="25"/>
    </w:lvl>
  </w:abstractNum>
  <w:abstractNum w:abstractNumId="22">
    <w:nsid w:val="70C6A529"/>
    <w:multiLevelType w:val="hybridMultilevel"/>
    <w:lvl w:ilvl="0">
      <w:lvlJc w:val="left"/>
      <w:lvlText w:val="%1."/>
      <w:numFmt w:val="decimal"/>
      <w:start w:val="26"/>
    </w:lvl>
  </w:abstractNum>
  <w:abstractNum w:abstractNumId="23">
    <w:nsid w:val="520EEDD1"/>
    <w:multiLevelType w:val="hybridMultilevel"/>
    <w:lvl w:ilvl="0">
      <w:lvlJc w:val="left"/>
      <w:lvlText w:val="%1."/>
      <w:numFmt w:val="decimal"/>
      <w:start w:val="29"/>
    </w:lvl>
  </w:abstractNum>
  <w:abstractNum w:abstractNumId="24">
    <w:nsid w:val="374A3FE6"/>
    <w:multiLevelType w:val="hybridMultilevel"/>
    <w:lvl w:ilvl="0">
      <w:lvlJc w:val="left"/>
      <w:lvlText w:val="%1."/>
      <w:numFmt w:val="decimal"/>
      <w:start w:val="34"/>
    </w:lvl>
  </w:abstractNum>
  <w:abstractNum w:abstractNumId="25">
    <w:nsid w:val="4F4EF005"/>
    <w:multiLevelType w:val="hybridMultilevel"/>
    <w:lvl w:ilvl="0">
      <w:lvlJc w:val="left"/>
      <w:lvlText w:val="%1."/>
      <w:numFmt w:val="decimal"/>
      <w:start w:val="35"/>
    </w:lvl>
  </w:abstractNum>
  <w:abstractNum w:abstractNumId="26">
    <w:nsid w:val="23F9C13C"/>
    <w:multiLevelType w:val="hybridMultilevel"/>
    <w:lvl w:ilvl="0">
      <w:lvlJc w:val="left"/>
      <w:lvlText w:val="%1."/>
      <w:numFmt w:val="decimal"/>
      <w:start w:val="42"/>
    </w:lvl>
  </w:abstractNum>
  <w:abstractNum w:abstractNumId="27">
    <w:nsid w:val="649BB77C"/>
    <w:multiLevelType w:val="hybridMultilevel"/>
    <w:lvl w:ilvl="0">
      <w:lvlJc w:val="left"/>
      <w:lvlText w:val="%1."/>
      <w:numFmt w:val="decimal"/>
      <w:start w:val="43"/>
    </w:lvl>
  </w:abstractNum>
  <w:abstractNum w:abstractNumId="28">
    <w:nsid w:val="275AC794"/>
    <w:multiLevelType w:val="hybridMultilevel"/>
    <w:lvl w:ilvl="0">
      <w:lvlJc w:val="left"/>
      <w:lvlText w:val="%1."/>
      <w:numFmt w:val="decimal"/>
      <w:start w:val="46"/>
    </w:lvl>
    <w:lvl w:ilvl="1">
      <w:lvlJc w:val="left"/>
      <w:lvlText w:val="(%2)"/>
      <w:numFmt w:val="lowerLetter"/>
      <w:start w:val="1"/>
    </w:lvl>
  </w:abstractNum>
  <w:abstractNum w:abstractNumId="29">
    <w:nsid w:val="39386575"/>
    <w:multiLevelType w:val="hybridMultilevel"/>
    <w:lvl w:ilvl="0">
      <w:lvlJc w:val="left"/>
      <w:lvlText w:val="%1."/>
      <w:numFmt w:val="decimal"/>
      <w:start w:val="47"/>
    </w:lvl>
    <w:lvl w:ilvl="1">
      <w:lvlJc w:val="left"/>
      <w:lvlText w:val="(%2)"/>
      <w:numFmt w:val="lowerLetter"/>
      <w:start w:val="1"/>
    </w:lvl>
  </w:abstractNum>
  <w:abstractNum w:abstractNumId="30">
    <w:nsid w:val="1CF10FD8"/>
    <w:multiLevelType w:val="hybridMultilevel"/>
    <w:lvl w:ilvl="0">
      <w:lvlJc w:val="left"/>
      <w:lvlText w:val="%1."/>
      <w:numFmt w:val="decimal"/>
      <w:start w:val="49"/>
    </w:lvl>
  </w:abstractNum>
  <w:abstractNum w:abstractNumId="31">
    <w:nsid w:val="180115BE"/>
    <w:multiLevelType w:val="hybridMultilevel"/>
    <w:lvl w:ilvl="0">
      <w:lvlJc w:val="left"/>
      <w:lvlText w:val="%1."/>
      <w:numFmt w:val="decimal"/>
      <w:start w:val="52"/>
    </w:lvl>
    <w:lvl w:ilvl="1">
      <w:lvlJc w:val="left"/>
      <w:lvlText w:val="(%2)"/>
      <w:numFmt w:val="lowerLetter"/>
      <w:start w:val="2"/>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decimal"/>
      <w:start w:val="55"/>
    </w:lvl>
  </w:abstractNum>
  <w:abstractNum w:abstractNumId="34">
    <w:nsid w:val="354FE9F9"/>
    <w:multiLevelType w:val="hybridMultilevel"/>
    <w:lvl w:ilvl="0">
      <w:lvlJc w:val="left"/>
      <w:lvlText w:val="%1."/>
      <w:numFmt w:val="decimal"/>
      <w:start w:val="56"/>
    </w:lvl>
  </w:abstractNum>
  <w:abstractNum w:abstractNumId="35">
    <w:nsid w:val="15B5AF5C"/>
    <w:multiLevelType w:val="hybridMultilevel"/>
    <w:lvl w:ilvl="0">
      <w:lvlJc w:val="left"/>
      <w:lvlText w:val="%1."/>
      <w:numFmt w:val="decimal"/>
      <w:start w:val="59"/>
    </w:lvl>
  </w:abstractNum>
  <w:abstractNum w:abstractNumId="36">
    <w:nsid w:val="741226BB"/>
    <w:multiLevelType w:val="hybridMultilevel"/>
    <w:lvl w:ilvl="0">
      <w:lvlJc w:val="left"/>
      <w:lvlText w:val="%1"/>
      <w:numFmt w:val="decimal"/>
      <w:start w:val="1"/>
    </w:lvl>
    <w:lvl w:ilvl="1">
      <w:lvlJc w:val="left"/>
      <w:lvlText w:val="(%2)"/>
      <w:numFmt w:val="lowerLetter"/>
      <w:start w:val="1"/>
    </w:lvl>
  </w:abstractNum>
  <w:abstractNum w:abstractNumId="37">
    <w:nsid w:val="D34B6A8"/>
    <w:multiLevelType w:val="hybridMultilevel"/>
    <w:lvl w:ilvl="0">
      <w:lvlJc w:val="left"/>
      <w:lvlText w:val="%1."/>
      <w:numFmt w:val="decimal"/>
      <w:start w:val="61"/>
    </w:lvl>
    <w:lvl w:ilvl="1">
      <w:lvlJc w:val="left"/>
      <w:lvlText w:val="%2"/>
      <w:numFmt w:val="lowerLetter"/>
      <w:start w:val="1"/>
    </w:lvl>
  </w:abstractNum>
  <w:abstractNum w:abstractNumId="38">
    <w:nsid w:val="10233C99"/>
    <w:multiLevelType w:val="hybridMultilevel"/>
    <w:lvl w:ilvl="0">
      <w:lvlJc w:val="left"/>
      <w:lvlText w:val="%1."/>
      <w:numFmt w:val="decimal"/>
      <w:start w:val="65"/>
    </w:lvl>
  </w:abstractNum>
  <w:abstractNum w:abstractNumId="39">
    <w:nsid w:val="3F6AB60F"/>
    <w:multiLevelType w:val="hybridMultilevel"/>
    <w:lvl w:ilvl="0">
      <w:lvlJc w:val="left"/>
      <w:lvlText w:val="%1."/>
      <w:numFmt w:val="decimal"/>
      <w:start w:val="66"/>
    </w:lvl>
  </w:abstractNum>
  <w:abstractNum w:abstractNumId="40">
    <w:nsid w:val="61574095"/>
    <w:multiLevelType w:val="hybridMultilevel"/>
    <w:lvl w:ilvl="0">
      <w:lvlJc w:val="left"/>
      <w:lvlText w:val="%1."/>
      <w:numFmt w:val="decimal"/>
      <w:start w:val="67"/>
    </w:lvl>
  </w:abstractNum>
  <w:abstractNum w:abstractNumId="41">
    <w:nsid w:val="7E0C57B1"/>
    <w:multiLevelType w:val="hybridMultilevel"/>
    <w:lvl w:ilvl="0">
      <w:lvlJc w:val="left"/>
      <w:lvlText w:val="%1."/>
      <w:numFmt w:val="decimal"/>
      <w:start w:val="73"/>
    </w:lvl>
    <w:lvl w:ilvl="1">
      <w:lvlJc w:val="left"/>
      <w:lvlText w:val="(%2)"/>
      <w:numFmt w:val="lowerLetter"/>
      <w:start w:val="1"/>
    </w:lvl>
  </w:abstractNum>
  <w:abstractNum w:abstractNumId="42">
    <w:nsid w:val="77AE35EB"/>
    <w:multiLevelType w:val="hybridMultilevel"/>
    <w:lvl w:ilvl="0">
      <w:lvlJc w:val="left"/>
      <w:lvlText w:val="%1."/>
      <w:numFmt w:val="decimal"/>
      <w:start w:val="74"/>
    </w:lvl>
  </w:abstractNum>
  <w:abstractNum w:abstractNumId="43">
    <w:nsid w:val="579BE4F1"/>
    <w:multiLevelType w:val="hybridMultilevel"/>
    <w:lvl w:ilvl="0">
      <w:lvlJc w:val="left"/>
      <w:lvlText w:val="%1."/>
      <w:numFmt w:val="decimal"/>
      <w:start w:val="75"/>
    </w:lvl>
  </w:abstractNum>
  <w:abstractNum w:abstractNumId="44">
    <w:nsid w:val="310C50B3"/>
    <w:multiLevelType w:val="hybridMultilevel"/>
    <w:lvl w:ilvl="0">
      <w:lvlJc w:val="left"/>
      <w:lvlText w:val="%1."/>
      <w:numFmt w:val="decimal"/>
      <w:start w:val="76"/>
    </w:lvl>
  </w:abstractNum>
  <w:abstractNum w:abstractNumId="45">
    <w:nsid w:val="5FF87E05"/>
    <w:multiLevelType w:val="hybridMultilevel"/>
    <w:lvl w:ilvl="0">
      <w:lvlJc w:val="left"/>
      <w:lvlText w:val="%1."/>
      <w:numFmt w:val="decimal"/>
      <w:start w:val="77"/>
    </w:lvl>
    <w:lvl w:ilvl="1">
      <w:lvlJc w:val="left"/>
      <w:lvlText w:val="(%2)"/>
      <w:numFmt w:val="lowerLetter"/>
      <w:start w:val="2"/>
    </w:lvl>
  </w:abstractNum>
  <w:abstractNum w:abstractNumId="46">
    <w:nsid w:val="2F305DEF"/>
    <w:multiLevelType w:val="hybridMultilevel"/>
    <w:lvl w:ilvl="0">
      <w:lvlJc w:val="left"/>
      <w:lvlText w:val="%1."/>
      <w:numFmt w:val="decimal"/>
      <w:start w:val="78"/>
    </w:lvl>
  </w:abstractNum>
  <w:abstractNum w:abstractNumId="47">
    <w:nsid w:val="25A70BF7"/>
    <w:multiLevelType w:val="hybridMultilevel"/>
    <w:lvl w:ilvl="0">
      <w:lvlJc w:val="left"/>
      <w:lvlText w:val="%1."/>
      <w:numFmt w:val="decimal"/>
      <w:start w:val="80"/>
    </w:lvl>
  </w:abstractNum>
  <w:abstractNum w:abstractNumId="48">
    <w:nsid w:val="1DBABF00"/>
    <w:multiLevelType w:val="hybridMultilevel"/>
    <w:lvl w:ilvl="0">
      <w:lvlJc w:val="left"/>
      <w:lvlText w:val="%1."/>
      <w:numFmt w:val="decimal"/>
      <w:start w:val="82"/>
    </w:lvl>
  </w:abstractNum>
  <w:abstractNum w:abstractNumId="49">
    <w:nsid w:val="4AD084E9"/>
    <w:multiLevelType w:val="hybridMultilevel"/>
    <w:lvl w:ilvl="0">
      <w:lvlJc w:val="left"/>
      <w:lvlText w:val="%1."/>
      <w:numFmt w:val="decimal"/>
      <w:start w:val="84"/>
    </w:lvl>
  </w:abstractNum>
  <w:abstractNum w:abstractNumId="50">
    <w:nsid w:val="1F48EAA1"/>
    <w:multiLevelType w:val="hybridMultilevel"/>
    <w:lvl w:ilvl="0">
      <w:lvlJc w:val="left"/>
      <w:lvlText w:val="%1."/>
      <w:numFmt w:val="decimal"/>
      <w:start w:val="90"/>
    </w:lvl>
  </w:abstractNum>
  <w:abstractNum w:abstractNumId="51">
    <w:nsid w:val="1381823A"/>
    <w:multiLevelType w:val="hybridMultilevel"/>
    <w:lvl w:ilvl="0">
      <w:lvlJc w:val="left"/>
      <w:lvlText w:val="%1."/>
      <w:numFmt w:val="decimal"/>
      <w:start w:val="93"/>
    </w:lvl>
    <w:lvl w:ilvl="1">
      <w:lvlJc w:val="left"/>
      <w:lvlText w:val="(%2)"/>
      <w:numFmt w:val="lowerLetter"/>
      <w:start w:val="1"/>
    </w:lvl>
  </w:abstractNum>
  <w:abstractNum w:abstractNumId="52">
    <w:nsid w:val="5DB70AE5"/>
    <w:multiLevelType w:val="hybridMultilevel"/>
    <w:lvl w:ilvl="0">
      <w:lvlJc w:val="left"/>
      <w:lvlText w:val="%1."/>
      <w:numFmt w:val="decimal"/>
      <w:start w:val="94"/>
    </w:lvl>
  </w:abstractNum>
  <w:abstractNum w:abstractNumId="53">
    <w:nsid w:val="100F8FCA"/>
    <w:multiLevelType w:val="hybridMultilevel"/>
    <w:lvl w:ilvl="0">
      <w:lvlJc w:val="left"/>
      <w:lvlText w:val="%1."/>
      <w:numFmt w:val="decimal"/>
      <w:start w:val="98"/>
    </w:lvl>
  </w:abstractNum>
  <w:abstractNum w:abstractNumId="54">
    <w:nsid w:val="6590700B"/>
    <w:multiLevelType w:val="hybridMultilevel"/>
    <w:lvl w:ilvl="0">
      <w:lvlJc w:val="left"/>
      <w:lvlText w:val="%1."/>
      <w:numFmt w:val="decimal"/>
      <w:start w:val="104"/>
    </w:lvl>
    <w:lvl w:ilvl="1">
      <w:lvlJc w:val="left"/>
      <w:lvlText w:val="(%2)"/>
      <w:numFmt w:val="lowerLetter"/>
      <w:start w:val="1"/>
    </w:lvl>
  </w:abstractNum>
  <w:abstractNum w:abstractNumId="55">
    <w:nsid w:val="15014ACB"/>
    <w:multiLevelType w:val="hybridMultilevel"/>
    <w:lvl w:ilvl="0">
      <w:lvlJc w:val="left"/>
      <w:lvlText w:val="%1."/>
      <w:numFmt w:val="decimal"/>
      <w:start w:val="112"/>
    </w:lvl>
  </w:abstractNum>
  <w:abstractNum w:abstractNumId="56">
    <w:nsid w:val="5F5E7FD0"/>
    <w:multiLevelType w:val="hybridMultilevel"/>
    <w:lvl w:ilvl="0">
      <w:lvlJc w:val="left"/>
      <w:lvlText w:val="%1."/>
      <w:numFmt w:val="decimal"/>
      <w:start w:val="113"/>
    </w:lvl>
  </w:abstractNum>
  <w:abstractNum w:abstractNumId="57">
    <w:nsid w:val="98A3148"/>
    <w:multiLevelType w:val="hybridMultilevel"/>
    <w:lvl w:ilvl="0">
      <w:lvlJc w:val="left"/>
      <w:lvlText w:val="%1."/>
      <w:numFmt w:val="decimal"/>
      <w:start w:val="116"/>
    </w:lvl>
  </w:abstractNum>
  <w:abstractNum w:abstractNumId="58">
    <w:nsid w:val="799D0247"/>
    <w:multiLevelType w:val="hybridMultilevel"/>
    <w:lvl w:ilvl="0">
      <w:lvlJc w:val="left"/>
      <w:lvlText w:val="%1."/>
      <w:numFmt w:val="decimal"/>
      <w:start w:val="119"/>
    </w:lvl>
  </w:abstractNum>
  <w:abstractNum w:abstractNumId="59">
    <w:nsid w:val="6B94764"/>
    <w:multiLevelType w:val="hybridMultilevel"/>
    <w:lvl w:ilvl="0">
      <w:lvlJc w:val="left"/>
      <w:lvlText w:val="%1."/>
      <w:numFmt w:val="decimal"/>
      <w:start w:val="122"/>
    </w:lvl>
  </w:abstractNum>
  <w:abstractNum w:abstractNumId="60">
    <w:nsid w:val="42C296BD"/>
    <w:multiLevelType w:val="hybridMultilevel"/>
    <w:lvl w:ilvl="0">
      <w:lvlJc w:val="left"/>
      <w:lvlText w:val="%1."/>
      <w:numFmt w:val="decimal"/>
      <w:start w:val="126"/>
    </w:lvl>
  </w:abstractNum>
  <w:abstractNum w:abstractNumId="61">
    <w:nsid w:val="168E121F"/>
    <w:multiLevelType w:val="hybridMultilevel"/>
    <w:lvl w:ilvl="0">
      <w:lvlJc w:val="left"/>
      <w:lvlText w:val="%1."/>
      <w:numFmt w:val="decimal"/>
      <w:start w:val="129"/>
    </w:lvl>
  </w:abstractNum>
  <w:abstractNum w:abstractNumId="62">
    <w:nsid w:val="1EBA5D23"/>
    <w:multiLevelType w:val="hybridMultilevel"/>
    <w:lvl w:ilvl="0">
      <w:lvlJc w:val="left"/>
      <w:lvlText w:val="%1."/>
      <w:numFmt w:val="decimal"/>
      <w:start w:val="130"/>
    </w:lvl>
  </w:abstractNum>
  <w:abstractNum w:abstractNumId="63">
    <w:nsid w:val="661E3F1E"/>
    <w:multiLevelType w:val="hybridMultilevel"/>
    <w:lvl w:ilvl="0">
      <w:lvlJc w:val="left"/>
      <w:lvlText w:val="%1."/>
      <w:numFmt w:val="decimal"/>
      <w:start w:val="133"/>
    </w:lvl>
  </w:abstractNum>
  <w:abstractNum w:abstractNumId="64">
    <w:nsid w:val="5DC79EA8"/>
    <w:multiLevelType w:val="hybridMultilevel"/>
    <w:lvl w:ilvl="0">
      <w:lvlJc w:val="left"/>
      <w:lvlText w:val="%1."/>
      <w:numFmt w:val="decimal"/>
      <w:start w:val="134"/>
    </w:lvl>
    <w:lvl w:ilvl="1">
      <w:lvlJc w:val="left"/>
      <w:lvlText w:val="(%2)"/>
      <w:numFmt w:val="lowerLetter"/>
      <w:start w:val="1"/>
    </w:lvl>
  </w:abstractNum>
  <w:abstractNum w:abstractNumId="65">
    <w:nsid w:val="540A471C"/>
    <w:multiLevelType w:val="hybridMultilevel"/>
    <w:lvl w:ilvl="0">
      <w:lvlJc w:val="left"/>
      <w:lvlText w:val="(%1)"/>
      <w:numFmt w:val="lowerLetter"/>
      <w:start w:val="2"/>
    </w:lvl>
    <w:lvl w:ilvl="1">
      <w:lvlJc w:val="left"/>
      <w:lvlText w:val="(%2)"/>
      <w:numFmt w:val="lowerRoman"/>
      <w:start w:val="1"/>
    </w:lvl>
  </w:abstractNum>
  <w:abstractNum w:abstractNumId="66">
    <w:nsid w:val="7BD3EE7B"/>
    <w:multiLevelType w:val="hybridMultilevel"/>
    <w:lvl w:ilvl="0">
      <w:lvlJc w:val="left"/>
      <w:lvlText w:val="(%1)"/>
      <w:numFmt w:val="lowerLetter"/>
      <w:start w:val="3"/>
    </w:lvl>
    <w:lvl w:ilvl="1">
      <w:lvlJc w:val="left"/>
      <w:lvlText w:val="(%2)"/>
      <w:numFmt w:val="lowerRoman"/>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3"/>
    </w:lvl>
  </w:abstractNum>
  <w:abstractNum w:abstractNumId="69">
    <w:nsid w:val="BF72B14"/>
    <w:multiLevelType w:val="hybridMultilevel"/>
    <w:lvl w:ilvl="0">
      <w:lvlJc w:val="left"/>
      <w:lvlText w:val="%1."/>
      <w:numFmt w:val="decimal"/>
      <w:start w:val="135"/>
    </w:lvl>
    <w:lvl w:ilvl="1">
      <w:lvlJc w:val="left"/>
      <w:lvlText w:val="(%2)"/>
      <w:numFmt w:val="lowerLetter"/>
      <w:start w:val="1"/>
    </w:lvl>
  </w:abstractNum>
  <w:abstractNum w:abstractNumId="70">
    <w:nsid w:val="11447B73"/>
    <w:multiLevelType w:val="hybridMultilevel"/>
    <w:lvl w:ilvl="0">
      <w:lvlJc w:val="left"/>
      <w:lvlText w:val="%1."/>
      <w:numFmt w:val="decimal"/>
      <w:start w:val="136"/>
    </w:lvl>
    <w:lvl w:ilvl="1">
      <w:lvlJc w:val="left"/>
      <w:lvlText w:val="(%2)"/>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2"/>
    </w:lvl>
  </w:abstractNum>
  <w:abstractNum w:abstractNumId="72">
    <w:nsid w:val="A0382C5"/>
    <w:multiLevelType w:val="hybridMultilevel"/>
    <w:lvl w:ilvl="0">
      <w:lvlJc w:val="left"/>
      <w:lvlText w:val="%1."/>
      <w:numFmt w:val="decimal"/>
      <w:start w:val="139"/>
    </w:lvl>
    <w:lvl w:ilvl="1">
      <w:lvlJc w:val="left"/>
      <w:lvlText w:val="(%2)"/>
      <w:numFmt w:val="lowerLetter"/>
      <w:start w:val="1"/>
    </w:lvl>
  </w:abstractNum>
  <w:abstractNum w:abstractNumId="73">
    <w:nsid w:val="8F2B15E"/>
    <w:multiLevelType w:val="hybridMultilevel"/>
    <w:lvl w:ilvl="0">
      <w:lvlJc w:val="left"/>
      <w:lvlText w:val="%1."/>
      <w:numFmt w:val="decimal"/>
      <w:start w:val="141"/>
    </w:lvl>
  </w:abstractNum>
  <w:abstractNum w:abstractNumId="74">
    <w:nsid w:val="1A32234B"/>
    <w:multiLevelType w:val="hybridMultilevel"/>
    <w:lvl w:ilvl="0">
      <w:lvlJc w:val="left"/>
      <w:lvlText w:val="%1."/>
      <w:numFmt w:val="decimal"/>
      <w:start w:val="143"/>
    </w:lvl>
  </w:abstractNum>
  <w:abstractNum w:abstractNumId="75">
    <w:nsid w:val="3B0FD379"/>
    <w:multiLevelType w:val="hybridMultilevel"/>
    <w:lvl w:ilvl="0">
      <w:lvlJc w:val="left"/>
      <w:lvlText w:val="%1."/>
      <w:numFmt w:val="decimal"/>
      <w:start w:val="145"/>
    </w:lvl>
  </w:abstractNum>
  <w:abstractNum w:abstractNumId="76">
    <w:nsid w:val="68EB2F63"/>
    <w:multiLevelType w:val="hybridMultilevel"/>
    <w:lvl w:ilvl="0">
      <w:lvlJc w:val="left"/>
      <w:lvlText w:val="%1."/>
      <w:numFmt w:val="decimal"/>
      <w:start w:val="147"/>
    </w:lvl>
  </w:abstractNum>
  <w:abstractNum w:abstractNumId="77">
    <w:nsid w:val="4962813B"/>
    <w:multiLevelType w:val="hybridMultilevel"/>
    <w:lvl w:ilvl="0">
      <w:lvlJc w:val="left"/>
      <w:lvlText w:val="%1."/>
      <w:numFmt w:val="decimal"/>
      <w:start w:val="148"/>
    </w:lvl>
  </w:abstractNum>
  <w:abstractNum w:abstractNumId="78">
    <w:nsid w:val="60B6DF70"/>
    <w:multiLevelType w:val="hybridMultilevel"/>
    <w:lvl w:ilvl="0">
      <w:lvlJc w:val="left"/>
      <w:lvlText w:val="(%1)"/>
      <w:numFmt w:val="upperLetter"/>
      <w:start w:val="9"/>
    </w:lvl>
  </w:abstractNum>
  <w:abstractNum w:abstractNumId="79">
    <w:nsid w:val="6A5EE64"/>
    <w:multiLevelType w:val="hybridMultilevel"/>
    <w:lvl w:ilvl="0">
      <w:lvlJc w:val="left"/>
      <w:lvlText w:val="1"/>
      <w:numFmt w:val="bullet"/>
      <w:start w:val="1"/>
    </w:lvl>
  </w:abstractNum>
  <w:abstractNum w:abstractNumId="80">
    <w:nsid w:val="14330624"/>
    <w:multiLevelType w:val="hybridMultilevel"/>
    <w:lvl w:ilvl="0">
      <w:lvlJc w:val="left"/>
      <w:lvlText w:val="(%1)"/>
      <w:numFmt w:val="upperLetter"/>
      <w:start w:val="35"/>
    </w:lvl>
  </w:abstractNum>
  <w:abstractNum w:abstractNumId="81">
    <w:nsid w:val="7FFFCA11"/>
    <w:multiLevelType w:val="hybridMultilevel"/>
    <w:lvl w:ilvl="0">
      <w:lvlJc w:val="left"/>
      <w:lvlText w:val="1"/>
      <w:numFmt w:val="bullet"/>
      <w:start w:val="1"/>
    </w:lvl>
  </w:abstractNum>
  <w:abstractNum w:abstractNumId="82">
    <w:nsid w:val="1A27709E"/>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2026-06-12T05:19:40Z</dcterms:created>
  <dcterms:modified xsi:type="dcterms:W3CDTF">2026-06-12T05:19:40Z</dcterms:modified>
</cp:coreProperties>
</file>